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4A" w:rsidRPr="00AF31B2" w:rsidRDefault="00003972" w:rsidP="00946E56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AF31B2">
        <w:rPr>
          <w:b/>
          <w:sz w:val="21"/>
          <w:szCs w:val="21"/>
          <w:u w:val="single"/>
        </w:rPr>
        <w:t>(</w:t>
      </w:r>
      <w:r w:rsidRPr="00AF31B2">
        <w:rPr>
          <w:b/>
          <w:sz w:val="21"/>
          <w:szCs w:val="21"/>
          <w:highlight w:val="yellow"/>
          <w:u w:val="single"/>
        </w:rPr>
        <w:t>titul) meno a priezvisko, adresa trvalého pobytu, PSČ a</w:t>
      </w:r>
      <w:r w:rsidR="009729B9" w:rsidRPr="00AF31B2">
        <w:rPr>
          <w:b/>
          <w:sz w:val="21"/>
          <w:szCs w:val="21"/>
          <w:highlight w:val="yellow"/>
          <w:u w:val="single"/>
        </w:rPr>
        <w:t> </w:t>
      </w:r>
      <w:r w:rsidRPr="00AF31B2">
        <w:rPr>
          <w:b/>
          <w:sz w:val="21"/>
          <w:szCs w:val="21"/>
          <w:highlight w:val="yellow"/>
          <w:u w:val="single"/>
        </w:rPr>
        <w:t>obec</w:t>
      </w:r>
    </w:p>
    <w:p w:rsidR="009729B9" w:rsidRPr="00AF31B2" w:rsidRDefault="009729B9" w:rsidP="00946E56">
      <w:pPr>
        <w:spacing w:line="276" w:lineRule="auto"/>
        <w:jc w:val="center"/>
        <w:rPr>
          <w:sz w:val="21"/>
          <w:szCs w:val="21"/>
          <w:u w:val="single"/>
        </w:rPr>
      </w:pPr>
      <w:r w:rsidRPr="00AF31B2">
        <w:rPr>
          <w:sz w:val="21"/>
          <w:szCs w:val="21"/>
          <w:highlight w:val="yellow"/>
          <w:u w:val="single"/>
        </w:rPr>
        <w:t>korešpondenčná adresa: (ak je iná ako adresa trvalého pobytu)</w:t>
      </w:r>
    </w:p>
    <w:p w:rsidR="00003972" w:rsidRPr="00AF31B2" w:rsidRDefault="00003972" w:rsidP="00946E56">
      <w:pPr>
        <w:spacing w:line="276" w:lineRule="auto"/>
        <w:rPr>
          <w:sz w:val="21"/>
          <w:szCs w:val="21"/>
        </w:rPr>
      </w:pPr>
    </w:p>
    <w:p w:rsidR="00003972" w:rsidRPr="00AF31B2" w:rsidRDefault="00003972" w:rsidP="00946E56">
      <w:pPr>
        <w:spacing w:line="276" w:lineRule="auto"/>
        <w:rPr>
          <w:sz w:val="21"/>
          <w:szCs w:val="21"/>
        </w:rPr>
      </w:pPr>
    </w:p>
    <w:p w:rsidR="00003972" w:rsidRPr="00AF31B2" w:rsidRDefault="00003972" w:rsidP="00946E56">
      <w:pPr>
        <w:spacing w:line="276" w:lineRule="auto"/>
        <w:rPr>
          <w:b/>
          <w:sz w:val="21"/>
          <w:szCs w:val="21"/>
          <w:highlight w:val="yellow"/>
        </w:rPr>
      </w:pP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="005D5E86" w:rsidRPr="00AF31B2">
        <w:rPr>
          <w:sz w:val="21"/>
          <w:szCs w:val="21"/>
        </w:rPr>
        <w:tab/>
      </w:r>
      <w:r w:rsidR="005D5E86" w:rsidRPr="00AF31B2">
        <w:rPr>
          <w:sz w:val="21"/>
          <w:szCs w:val="21"/>
        </w:rPr>
        <w:tab/>
      </w:r>
      <w:r w:rsidRPr="00AF31B2">
        <w:rPr>
          <w:b/>
          <w:sz w:val="21"/>
          <w:szCs w:val="21"/>
          <w:highlight w:val="yellow"/>
        </w:rPr>
        <w:t>...............názov školy....................</w:t>
      </w:r>
    </w:p>
    <w:p w:rsidR="00003972" w:rsidRPr="00AF31B2" w:rsidRDefault="00003972" w:rsidP="00946E56">
      <w:pPr>
        <w:spacing w:line="276" w:lineRule="auto"/>
        <w:ind w:left="6360" w:firstLine="12"/>
        <w:rPr>
          <w:sz w:val="21"/>
          <w:szCs w:val="21"/>
          <w:highlight w:val="yellow"/>
        </w:rPr>
      </w:pPr>
      <w:r w:rsidRPr="00AF31B2">
        <w:rPr>
          <w:sz w:val="21"/>
          <w:szCs w:val="21"/>
          <w:highlight w:val="yellow"/>
        </w:rPr>
        <w:t xml:space="preserve">(titul) meno a priezvisko </w:t>
      </w:r>
      <w:r w:rsidRPr="00AF31B2">
        <w:rPr>
          <w:b/>
          <w:sz w:val="21"/>
          <w:szCs w:val="21"/>
          <w:highlight w:val="yellow"/>
        </w:rPr>
        <w:t>riaditeľa</w:t>
      </w:r>
    </w:p>
    <w:p w:rsidR="00003972" w:rsidRPr="00AF31B2" w:rsidRDefault="00003972" w:rsidP="00946E56">
      <w:pPr>
        <w:spacing w:line="276" w:lineRule="auto"/>
        <w:rPr>
          <w:sz w:val="21"/>
          <w:szCs w:val="21"/>
          <w:highlight w:val="yellow"/>
        </w:rPr>
      </w:pP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="005D5E86" w:rsidRPr="00AF31B2">
        <w:rPr>
          <w:sz w:val="21"/>
          <w:szCs w:val="21"/>
        </w:rPr>
        <w:tab/>
      </w:r>
      <w:r w:rsidRPr="00AF31B2">
        <w:rPr>
          <w:sz w:val="21"/>
          <w:szCs w:val="21"/>
          <w:highlight w:val="yellow"/>
        </w:rPr>
        <w:t>...............adresa školy...................</w:t>
      </w:r>
    </w:p>
    <w:p w:rsidR="00003972" w:rsidRPr="00AF31B2" w:rsidRDefault="00003972" w:rsidP="00946E56">
      <w:pPr>
        <w:spacing w:line="276" w:lineRule="auto"/>
        <w:ind w:left="5664" w:firstLine="708"/>
        <w:rPr>
          <w:sz w:val="21"/>
          <w:szCs w:val="21"/>
        </w:rPr>
      </w:pPr>
      <w:r w:rsidRPr="00AF31B2">
        <w:rPr>
          <w:sz w:val="21"/>
          <w:szCs w:val="21"/>
          <w:highlight w:val="yellow"/>
        </w:rPr>
        <w:t>................PSČ a obec....................</w:t>
      </w:r>
    </w:p>
    <w:p w:rsidR="00003972" w:rsidRPr="00AF31B2" w:rsidRDefault="00003972" w:rsidP="00946E56">
      <w:p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</w:p>
    <w:p w:rsidR="00003972" w:rsidRPr="00AF31B2" w:rsidRDefault="00003972" w:rsidP="00946E56">
      <w:p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Pr="00AF31B2">
        <w:rPr>
          <w:sz w:val="21"/>
          <w:szCs w:val="21"/>
        </w:rPr>
        <w:tab/>
      </w:r>
      <w:r w:rsidR="005D5E86" w:rsidRPr="00AF31B2">
        <w:rPr>
          <w:sz w:val="21"/>
          <w:szCs w:val="21"/>
        </w:rPr>
        <w:tab/>
      </w:r>
      <w:r w:rsidRPr="00AF31B2">
        <w:rPr>
          <w:sz w:val="21"/>
          <w:szCs w:val="21"/>
          <w:highlight w:val="yellow"/>
        </w:rPr>
        <w:t>V ..................., dňa ................</w:t>
      </w:r>
      <w:r w:rsidR="00872D44" w:rsidRPr="00AF31B2">
        <w:rPr>
          <w:sz w:val="21"/>
          <w:szCs w:val="21"/>
          <w:highlight w:val="yellow"/>
        </w:rPr>
        <w:t>.2022</w:t>
      </w:r>
    </w:p>
    <w:p w:rsidR="00003972" w:rsidRPr="00AF31B2" w:rsidRDefault="00003972" w:rsidP="00946E56">
      <w:pPr>
        <w:spacing w:line="276" w:lineRule="auto"/>
        <w:rPr>
          <w:sz w:val="21"/>
          <w:szCs w:val="21"/>
        </w:rPr>
      </w:pPr>
    </w:p>
    <w:p w:rsidR="00003972" w:rsidRPr="00AF31B2" w:rsidRDefault="00003972" w:rsidP="00946E56">
      <w:pPr>
        <w:spacing w:line="276" w:lineRule="auto"/>
        <w:contextualSpacing/>
        <w:rPr>
          <w:b/>
          <w:sz w:val="21"/>
          <w:szCs w:val="21"/>
        </w:rPr>
      </w:pPr>
      <w:r w:rsidRPr="00AF31B2">
        <w:rPr>
          <w:b/>
          <w:sz w:val="21"/>
          <w:szCs w:val="21"/>
        </w:rPr>
        <w:t>VEC</w:t>
      </w:r>
    </w:p>
    <w:p w:rsidR="00BB2174" w:rsidRPr="00AF31B2" w:rsidRDefault="00BB2174" w:rsidP="00946E56">
      <w:pPr>
        <w:spacing w:line="276" w:lineRule="auto"/>
        <w:ind w:left="360" w:hanging="360"/>
        <w:rPr>
          <w:b/>
          <w:sz w:val="21"/>
          <w:szCs w:val="21"/>
          <w:u w:val="single"/>
        </w:rPr>
      </w:pPr>
      <w:r w:rsidRPr="00AF31B2">
        <w:rPr>
          <w:b/>
          <w:sz w:val="21"/>
          <w:szCs w:val="21"/>
          <w:u w:val="single"/>
        </w:rPr>
        <w:t>V</w:t>
      </w:r>
      <w:r w:rsidR="00B478C1" w:rsidRPr="00AF31B2">
        <w:rPr>
          <w:b/>
          <w:sz w:val="21"/>
          <w:szCs w:val="21"/>
          <w:u w:val="single"/>
        </w:rPr>
        <w:t>ýzva</w:t>
      </w:r>
      <w:r w:rsidR="00187F54" w:rsidRPr="00AF31B2">
        <w:rPr>
          <w:b/>
          <w:sz w:val="21"/>
          <w:szCs w:val="21"/>
          <w:u w:val="single"/>
        </w:rPr>
        <w:t xml:space="preserve"> na </w:t>
      </w:r>
      <w:r w:rsidR="00003972" w:rsidRPr="00AF31B2">
        <w:rPr>
          <w:b/>
          <w:sz w:val="21"/>
          <w:szCs w:val="21"/>
          <w:u w:val="single"/>
        </w:rPr>
        <w:t>zdržanie sa protiprávneho konania</w:t>
      </w:r>
      <w:r w:rsidR="00003972" w:rsidRPr="00AF31B2">
        <w:rPr>
          <w:b/>
          <w:sz w:val="21"/>
          <w:szCs w:val="21"/>
        </w:rPr>
        <w:t xml:space="preserve"> </w:t>
      </w:r>
      <w:r w:rsidR="005D5E86" w:rsidRPr="00AF31B2">
        <w:rPr>
          <w:b/>
          <w:sz w:val="21"/>
          <w:szCs w:val="21"/>
        </w:rPr>
        <w:t xml:space="preserve"> </w:t>
      </w:r>
    </w:p>
    <w:p w:rsidR="00003972" w:rsidRPr="00AF31B2" w:rsidRDefault="00326F9D" w:rsidP="00946E56">
      <w:pPr>
        <w:spacing w:line="276" w:lineRule="auto"/>
        <w:rPr>
          <w:b/>
          <w:sz w:val="21"/>
          <w:szCs w:val="21"/>
          <w:u w:val="single"/>
        </w:rPr>
      </w:pPr>
      <w:r w:rsidRPr="00AF31B2">
        <w:rPr>
          <w:sz w:val="21"/>
          <w:szCs w:val="21"/>
        </w:rPr>
        <w:t>(</w:t>
      </w:r>
      <w:r w:rsidR="00B478C1" w:rsidRPr="00AF31B2">
        <w:rPr>
          <w:sz w:val="21"/>
          <w:szCs w:val="21"/>
        </w:rPr>
        <w:t xml:space="preserve">ďalej </w:t>
      </w:r>
      <w:r w:rsidRPr="00AF31B2">
        <w:rPr>
          <w:sz w:val="21"/>
          <w:szCs w:val="21"/>
        </w:rPr>
        <w:t xml:space="preserve">len </w:t>
      </w:r>
      <w:r w:rsidRPr="00AF31B2">
        <w:rPr>
          <w:b/>
          <w:i/>
          <w:sz w:val="21"/>
          <w:szCs w:val="21"/>
        </w:rPr>
        <w:t>„</w:t>
      </w:r>
      <w:r w:rsidR="00B517CB" w:rsidRPr="00AF31B2">
        <w:rPr>
          <w:b/>
          <w:i/>
          <w:sz w:val="21"/>
          <w:szCs w:val="21"/>
        </w:rPr>
        <w:t>výzva</w:t>
      </w:r>
      <w:r w:rsidRPr="00AF31B2">
        <w:rPr>
          <w:b/>
          <w:i/>
          <w:sz w:val="21"/>
          <w:szCs w:val="21"/>
        </w:rPr>
        <w:t>“</w:t>
      </w:r>
      <w:r w:rsidRPr="00AF31B2">
        <w:rPr>
          <w:sz w:val="21"/>
          <w:szCs w:val="21"/>
        </w:rPr>
        <w:t>)</w:t>
      </w:r>
    </w:p>
    <w:p w:rsidR="00187F54" w:rsidRPr="00AF31B2" w:rsidRDefault="00187F54" w:rsidP="00946E56">
      <w:pPr>
        <w:spacing w:line="276" w:lineRule="auto"/>
        <w:jc w:val="both"/>
        <w:rPr>
          <w:sz w:val="21"/>
          <w:szCs w:val="21"/>
        </w:rPr>
      </w:pPr>
    </w:p>
    <w:p w:rsidR="00003972" w:rsidRPr="00AF31B2" w:rsidRDefault="002B76BB" w:rsidP="00946E56">
      <w:pPr>
        <w:spacing w:line="276" w:lineRule="auto"/>
        <w:jc w:val="both"/>
        <w:rPr>
          <w:sz w:val="21"/>
          <w:szCs w:val="21"/>
        </w:rPr>
      </w:pPr>
      <w:r w:rsidRPr="00AF31B2">
        <w:rPr>
          <w:sz w:val="21"/>
          <w:szCs w:val="21"/>
        </w:rPr>
        <w:t>D</w:t>
      </w:r>
      <w:r w:rsidR="00003972" w:rsidRPr="00AF31B2">
        <w:rPr>
          <w:sz w:val="21"/>
          <w:szCs w:val="21"/>
        </w:rPr>
        <w:t>olu</w:t>
      </w:r>
      <w:r w:rsidRPr="00AF31B2">
        <w:rPr>
          <w:sz w:val="21"/>
          <w:szCs w:val="21"/>
        </w:rPr>
        <w:t xml:space="preserve"> </w:t>
      </w:r>
      <w:r w:rsidR="00003972" w:rsidRPr="00AF31B2">
        <w:rPr>
          <w:sz w:val="21"/>
          <w:szCs w:val="21"/>
        </w:rPr>
        <w:t>podpísan</w:t>
      </w:r>
      <w:r w:rsidRPr="00AF31B2">
        <w:rPr>
          <w:sz w:val="21"/>
          <w:szCs w:val="21"/>
          <w:highlight w:val="yellow"/>
        </w:rPr>
        <w:t>ý/á</w:t>
      </w:r>
      <w:r w:rsidR="00003972" w:rsidRPr="00AF31B2">
        <w:rPr>
          <w:sz w:val="21"/>
          <w:szCs w:val="21"/>
        </w:rPr>
        <w:t xml:space="preserve"> </w:t>
      </w:r>
      <w:r w:rsidR="005D6606" w:rsidRPr="00AF31B2">
        <w:rPr>
          <w:sz w:val="21"/>
          <w:szCs w:val="21"/>
          <w:highlight w:val="yellow"/>
        </w:rPr>
        <w:t>............</w:t>
      </w:r>
      <w:r w:rsidR="00003972" w:rsidRPr="00AF31B2">
        <w:rPr>
          <w:sz w:val="21"/>
          <w:szCs w:val="21"/>
          <w:highlight w:val="yellow"/>
        </w:rPr>
        <w:t>.............................,</w:t>
      </w:r>
      <w:r w:rsidR="00003972" w:rsidRPr="00AF31B2">
        <w:rPr>
          <w:sz w:val="21"/>
          <w:szCs w:val="21"/>
        </w:rPr>
        <w:t xml:space="preserve"> zákonný zástupca</w:t>
      </w:r>
      <w:r w:rsidR="005D6606" w:rsidRPr="00AF31B2">
        <w:rPr>
          <w:sz w:val="21"/>
          <w:szCs w:val="21"/>
        </w:rPr>
        <w:t xml:space="preserve"> </w:t>
      </w:r>
      <w:r w:rsidR="005D6606" w:rsidRPr="00AF31B2">
        <w:rPr>
          <w:sz w:val="21"/>
          <w:szCs w:val="21"/>
          <w:highlight w:val="yellow"/>
        </w:rPr>
        <w:t>maloletého/maloletej</w:t>
      </w:r>
      <w:r w:rsidR="00946E56" w:rsidRPr="00AF31B2">
        <w:rPr>
          <w:sz w:val="21"/>
          <w:szCs w:val="21"/>
        </w:rPr>
        <w:t xml:space="preserve"> </w:t>
      </w:r>
      <w:r w:rsidR="00003972" w:rsidRPr="00AF31B2">
        <w:rPr>
          <w:sz w:val="21"/>
          <w:szCs w:val="21"/>
          <w:highlight w:val="yellow"/>
        </w:rPr>
        <w:t>.........</w:t>
      </w:r>
      <w:r w:rsidR="005D6606" w:rsidRPr="00AF31B2">
        <w:rPr>
          <w:sz w:val="21"/>
          <w:szCs w:val="21"/>
          <w:highlight w:val="yellow"/>
        </w:rPr>
        <w:t>(meno a priezvisko dieťaťa)</w:t>
      </w:r>
      <w:r w:rsidR="00003972" w:rsidRPr="00AF31B2">
        <w:rPr>
          <w:sz w:val="21"/>
          <w:szCs w:val="21"/>
          <w:highlight w:val="yellow"/>
        </w:rPr>
        <w:t>...........</w:t>
      </w:r>
      <w:r w:rsidRPr="00AF31B2">
        <w:rPr>
          <w:sz w:val="21"/>
          <w:szCs w:val="21"/>
        </w:rPr>
        <w:t>,</w:t>
      </w:r>
      <w:r w:rsidR="00003972" w:rsidRPr="00AF31B2">
        <w:rPr>
          <w:sz w:val="21"/>
          <w:szCs w:val="21"/>
        </w:rPr>
        <w:t xml:space="preserve"> </w:t>
      </w:r>
      <w:r w:rsidRPr="00AF31B2">
        <w:rPr>
          <w:sz w:val="21"/>
          <w:szCs w:val="21"/>
        </w:rPr>
        <w:t xml:space="preserve">žiak </w:t>
      </w:r>
      <w:r w:rsidRPr="00AF31B2">
        <w:rPr>
          <w:sz w:val="21"/>
          <w:szCs w:val="21"/>
          <w:highlight w:val="yellow"/>
        </w:rPr>
        <w:t>.....</w:t>
      </w:r>
      <w:r w:rsidRPr="00AF31B2">
        <w:rPr>
          <w:sz w:val="21"/>
          <w:szCs w:val="21"/>
        </w:rPr>
        <w:t xml:space="preserve"> triedy </w:t>
      </w:r>
      <w:r w:rsidR="005D6606" w:rsidRPr="00AF31B2">
        <w:rPr>
          <w:sz w:val="21"/>
          <w:szCs w:val="21"/>
        </w:rPr>
        <w:t xml:space="preserve">(ďalej len </w:t>
      </w:r>
      <w:r w:rsidR="005D6606" w:rsidRPr="00AF31B2">
        <w:rPr>
          <w:b/>
          <w:sz w:val="21"/>
          <w:szCs w:val="21"/>
        </w:rPr>
        <w:t>„dieťa“</w:t>
      </w:r>
      <w:r w:rsidR="005D6606" w:rsidRPr="00AF31B2">
        <w:rPr>
          <w:sz w:val="21"/>
          <w:szCs w:val="21"/>
        </w:rPr>
        <w:t xml:space="preserve">) </w:t>
      </w:r>
      <w:r w:rsidR="00C524C5" w:rsidRPr="00AF31B2">
        <w:rPr>
          <w:sz w:val="21"/>
          <w:szCs w:val="21"/>
        </w:rPr>
        <w:t>plniaci povinnú školskú dochádzku v</w:t>
      </w:r>
      <w:r w:rsidR="002761BF" w:rsidRPr="00AF31B2">
        <w:rPr>
          <w:sz w:val="21"/>
          <w:szCs w:val="21"/>
        </w:rPr>
        <w:t xml:space="preserve"> </w:t>
      </w:r>
      <w:r w:rsidR="00003972" w:rsidRPr="00AF31B2">
        <w:rPr>
          <w:sz w:val="21"/>
          <w:szCs w:val="21"/>
        </w:rPr>
        <w:t xml:space="preserve"> </w:t>
      </w:r>
      <w:r w:rsidR="00003972" w:rsidRPr="00AF31B2">
        <w:rPr>
          <w:sz w:val="21"/>
          <w:szCs w:val="21"/>
          <w:highlight w:val="yellow"/>
        </w:rPr>
        <w:t>.......(názov MŠ/ZŠ/SŠ)......</w:t>
      </w:r>
      <w:r w:rsidR="005D6606" w:rsidRPr="00AF31B2">
        <w:rPr>
          <w:sz w:val="21"/>
          <w:szCs w:val="21"/>
        </w:rPr>
        <w:t xml:space="preserve"> </w:t>
      </w:r>
      <w:r w:rsidR="00003972" w:rsidRPr="00AF31B2">
        <w:rPr>
          <w:b/>
          <w:sz w:val="21"/>
          <w:szCs w:val="21"/>
        </w:rPr>
        <w:t xml:space="preserve">Vás </w:t>
      </w:r>
      <w:r w:rsidR="00C524C5" w:rsidRPr="00AF31B2">
        <w:rPr>
          <w:b/>
          <w:sz w:val="21"/>
          <w:szCs w:val="21"/>
        </w:rPr>
        <w:t>ako štatutárn</w:t>
      </w:r>
      <w:r w:rsidR="00946E56" w:rsidRPr="00AF31B2">
        <w:rPr>
          <w:b/>
          <w:sz w:val="21"/>
          <w:szCs w:val="21"/>
        </w:rPr>
        <w:t>y</w:t>
      </w:r>
      <w:r w:rsidR="00C524C5" w:rsidRPr="00AF31B2">
        <w:rPr>
          <w:b/>
          <w:sz w:val="21"/>
          <w:szCs w:val="21"/>
        </w:rPr>
        <w:t xml:space="preserve"> </w:t>
      </w:r>
      <w:r w:rsidR="00946E56" w:rsidRPr="00AF31B2">
        <w:rPr>
          <w:b/>
          <w:sz w:val="21"/>
          <w:szCs w:val="21"/>
        </w:rPr>
        <w:t>orgán</w:t>
      </w:r>
      <w:r w:rsidR="00C524C5" w:rsidRPr="00AF31B2">
        <w:rPr>
          <w:b/>
          <w:sz w:val="21"/>
          <w:szCs w:val="21"/>
        </w:rPr>
        <w:t xml:space="preserve"> školy </w:t>
      </w:r>
      <w:r w:rsidR="00003972" w:rsidRPr="00AF31B2">
        <w:rPr>
          <w:b/>
          <w:sz w:val="21"/>
          <w:szCs w:val="21"/>
        </w:rPr>
        <w:t xml:space="preserve">žiadam, aby </w:t>
      </w:r>
      <w:r w:rsidR="00946E56" w:rsidRPr="00AF31B2">
        <w:rPr>
          <w:b/>
          <w:sz w:val="21"/>
          <w:szCs w:val="21"/>
        </w:rPr>
        <w:t xml:space="preserve">sa zamestnanci školy  </w:t>
      </w:r>
      <w:r w:rsidR="00946E56" w:rsidRPr="00AF31B2">
        <w:rPr>
          <w:sz w:val="21"/>
          <w:szCs w:val="21"/>
        </w:rPr>
        <w:t xml:space="preserve">(ďalej len </w:t>
      </w:r>
      <w:r w:rsidR="00946E56" w:rsidRPr="00AF31B2">
        <w:rPr>
          <w:b/>
          <w:sz w:val="21"/>
          <w:szCs w:val="21"/>
        </w:rPr>
        <w:t>„škola“</w:t>
      </w:r>
      <w:r w:rsidR="00946E56" w:rsidRPr="00AF31B2">
        <w:rPr>
          <w:sz w:val="21"/>
          <w:szCs w:val="21"/>
        </w:rPr>
        <w:t xml:space="preserve">) </w:t>
      </w:r>
      <w:r w:rsidR="00946E56" w:rsidRPr="00AF31B2">
        <w:rPr>
          <w:b/>
          <w:sz w:val="21"/>
          <w:szCs w:val="21"/>
        </w:rPr>
        <w:t>zdržali</w:t>
      </w:r>
      <w:r w:rsidR="00003972" w:rsidRPr="00AF31B2">
        <w:rPr>
          <w:b/>
          <w:sz w:val="21"/>
          <w:szCs w:val="21"/>
        </w:rPr>
        <w:t xml:space="preserve"> protiprávneho konania, a</w:t>
      </w:r>
      <w:r w:rsidR="00946E56" w:rsidRPr="00AF31B2">
        <w:rPr>
          <w:b/>
          <w:sz w:val="21"/>
          <w:szCs w:val="21"/>
        </w:rPr>
        <w:t> </w:t>
      </w:r>
      <w:r w:rsidR="00003972" w:rsidRPr="00AF31B2">
        <w:rPr>
          <w:b/>
          <w:sz w:val="21"/>
          <w:szCs w:val="21"/>
        </w:rPr>
        <w:t>to</w:t>
      </w:r>
      <w:r w:rsidR="00946E56" w:rsidRPr="00AF31B2">
        <w:rPr>
          <w:b/>
          <w:sz w:val="21"/>
          <w:szCs w:val="21"/>
        </w:rPr>
        <w:t xml:space="preserve"> vo veci</w:t>
      </w:r>
      <w:r w:rsidR="00003972" w:rsidRPr="00AF31B2">
        <w:rPr>
          <w:sz w:val="21"/>
          <w:szCs w:val="21"/>
        </w:rPr>
        <w:t xml:space="preserve">: </w:t>
      </w:r>
    </w:p>
    <w:p w:rsidR="00AE05D3" w:rsidRPr="00AF31B2" w:rsidRDefault="00AE05D3" w:rsidP="00FC4B03">
      <w:pPr>
        <w:pStyle w:val="Odsekzoznamu"/>
        <w:numPr>
          <w:ilvl w:val="0"/>
          <w:numId w:val="3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>podmieňova</w:t>
      </w:r>
      <w:r w:rsidR="00C524C5" w:rsidRPr="00AF31B2">
        <w:rPr>
          <w:sz w:val="21"/>
          <w:szCs w:val="21"/>
        </w:rPr>
        <w:t>ním</w:t>
      </w:r>
      <w:r w:rsidRPr="00AF31B2">
        <w:rPr>
          <w:sz w:val="21"/>
          <w:szCs w:val="21"/>
        </w:rPr>
        <w:t xml:space="preserve"> </w:t>
      </w:r>
      <w:r w:rsidR="005A751B" w:rsidRPr="00AF31B2">
        <w:rPr>
          <w:sz w:val="21"/>
          <w:szCs w:val="21"/>
        </w:rPr>
        <w:t xml:space="preserve">vstupu </w:t>
      </w:r>
      <w:r w:rsidR="00FC4B03" w:rsidRPr="00AF31B2">
        <w:rPr>
          <w:sz w:val="21"/>
          <w:szCs w:val="21"/>
        </w:rPr>
        <w:t xml:space="preserve">dieťaťa </w:t>
      </w:r>
      <w:r w:rsidR="005A751B" w:rsidRPr="00AF31B2">
        <w:rPr>
          <w:sz w:val="21"/>
          <w:szCs w:val="21"/>
        </w:rPr>
        <w:t>do školy</w:t>
      </w:r>
      <w:r w:rsidRPr="00AF31B2">
        <w:rPr>
          <w:sz w:val="21"/>
          <w:szCs w:val="21"/>
        </w:rPr>
        <w:t xml:space="preserve"> vyžadovaním </w:t>
      </w:r>
      <w:r w:rsidR="00AF31B2" w:rsidRPr="00AF31B2">
        <w:rPr>
          <w:sz w:val="21"/>
          <w:szCs w:val="21"/>
        </w:rPr>
        <w:t xml:space="preserve">prekrytia </w:t>
      </w:r>
      <w:r w:rsidRPr="00AF31B2">
        <w:rPr>
          <w:sz w:val="21"/>
          <w:szCs w:val="21"/>
        </w:rPr>
        <w:t>horných dýchacích ciest</w:t>
      </w:r>
      <w:r w:rsidR="00C524C5" w:rsidRPr="00AF31B2">
        <w:rPr>
          <w:sz w:val="21"/>
          <w:szCs w:val="21"/>
        </w:rPr>
        <w:t>,</w:t>
      </w:r>
    </w:p>
    <w:p w:rsidR="00003972" w:rsidRPr="00AF31B2" w:rsidRDefault="00C524C5" w:rsidP="00FC4B03">
      <w:pPr>
        <w:pStyle w:val="Odsekzoznamu"/>
        <w:numPr>
          <w:ilvl w:val="0"/>
          <w:numId w:val="3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podmieňovaním </w:t>
      </w:r>
      <w:r w:rsidR="005A751B" w:rsidRPr="00AF31B2">
        <w:rPr>
          <w:sz w:val="21"/>
          <w:szCs w:val="21"/>
        </w:rPr>
        <w:t xml:space="preserve">vstupu </w:t>
      </w:r>
      <w:r w:rsidR="00FC4B03" w:rsidRPr="00AF31B2">
        <w:rPr>
          <w:sz w:val="21"/>
          <w:szCs w:val="21"/>
        </w:rPr>
        <w:t xml:space="preserve">dieťaťa </w:t>
      </w:r>
      <w:r w:rsidR="005A751B" w:rsidRPr="00AF31B2">
        <w:rPr>
          <w:sz w:val="21"/>
          <w:szCs w:val="21"/>
        </w:rPr>
        <w:t>do školy</w:t>
      </w:r>
      <w:r w:rsidRPr="00AF31B2">
        <w:rPr>
          <w:sz w:val="21"/>
          <w:szCs w:val="21"/>
        </w:rPr>
        <w:t xml:space="preserve"> </w:t>
      </w:r>
      <w:r w:rsidR="00C67F8B" w:rsidRPr="00AF31B2">
        <w:rPr>
          <w:sz w:val="21"/>
          <w:szCs w:val="21"/>
        </w:rPr>
        <w:t xml:space="preserve">preukázaním sa </w:t>
      </w:r>
      <w:r w:rsidR="00003972" w:rsidRPr="00AF31B2">
        <w:rPr>
          <w:sz w:val="21"/>
          <w:szCs w:val="21"/>
        </w:rPr>
        <w:t>negatívnym testom na ochorenie COVID-19</w:t>
      </w:r>
      <w:r w:rsidR="00F4442A" w:rsidRPr="00AF31B2">
        <w:rPr>
          <w:sz w:val="21"/>
          <w:szCs w:val="21"/>
        </w:rPr>
        <w:t>,</w:t>
      </w:r>
    </w:p>
    <w:p w:rsidR="00BB2174" w:rsidRPr="00AF31B2" w:rsidRDefault="00BB2174" w:rsidP="00FC4B03">
      <w:pPr>
        <w:pStyle w:val="Odsekzoznamu"/>
        <w:numPr>
          <w:ilvl w:val="0"/>
          <w:numId w:val="3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podmieňovaním </w:t>
      </w:r>
      <w:r w:rsidR="005A751B" w:rsidRPr="00AF31B2">
        <w:rPr>
          <w:sz w:val="21"/>
          <w:szCs w:val="21"/>
        </w:rPr>
        <w:t xml:space="preserve">vstupu </w:t>
      </w:r>
      <w:r w:rsidR="00FC4B03" w:rsidRPr="00AF31B2">
        <w:rPr>
          <w:sz w:val="21"/>
          <w:szCs w:val="21"/>
        </w:rPr>
        <w:t xml:space="preserve">dieťaťa </w:t>
      </w:r>
      <w:r w:rsidR="005A751B" w:rsidRPr="00AF31B2">
        <w:rPr>
          <w:sz w:val="21"/>
          <w:szCs w:val="21"/>
        </w:rPr>
        <w:t>do školy</w:t>
      </w:r>
      <w:r w:rsidRPr="00AF31B2">
        <w:rPr>
          <w:sz w:val="21"/>
          <w:szCs w:val="21"/>
        </w:rPr>
        <w:t xml:space="preserve"> očkovaním proti COVID-19,</w:t>
      </w:r>
    </w:p>
    <w:p w:rsidR="00557C1B" w:rsidRPr="00AF31B2" w:rsidRDefault="00C524C5" w:rsidP="00FC4B03">
      <w:pPr>
        <w:pStyle w:val="Odsekzoznamu"/>
        <w:numPr>
          <w:ilvl w:val="0"/>
          <w:numId w:val="3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podmieňovaním </w:t>
      </w:r>
      <w:r w:rsidR="005A751B" w:rsidRPr="00AF31B2">
        <w:rPr>
          <w:sz w:val="21"/>
          <w:szCs w:val="21"/>
        </w:rPr>
        <w:t xml:space="preserve">vstupu </w:t>
      </w:r>
      <w:r w:rsidR="00FC4B03" w:rsidRPr="00AF31B2">
        <w:rPr>
          <w:sz w:val="21"/>
          <w:szCs w:val="21"/>
        </w:rPr>
        <w:t xml:space="preserve">dieťaťa </w:t>
      </w:r>
      <w:r w:rsidR="005A751B" w:rsidRPr="00AF31B2">
        <w:rPr>
          <w:sz w:val="21"/>
          <w:szCs w:val="21"/>
        </w:rPr>
        <w:t>do školy</w:t>
      </w:r>
      <w:r w:rsidRPr="00AF31B2">
        <w:rPr>
          <w:sz w:val="21"/>
          <w:szCs w:val="21"/>
        </w:rPr>
        <w:t xml:space="preserve"> </w:t>
      </w:r>
      <w:r w:rsidR="00557C1B" w:rsidRPr="00AF31B2">
        <w:rPr>
          <w:sz w:val="21"/>
          <w:szCs w:val="21"/>
        </w:rPr>
        <w:t xml:space="preserve">písomným vyhlásením o bezpríznakovosti, </w:t>
      </w:r>
    </w:p>
    <w:p w:rsidR="000F586D" w:rsidRPr="00AF31B2" w:rsidRDefault="005A751B" w:rsidP="00FC4B03">
      <w:pPr>
        <w:pStyle w:val="Odsekzoznamu"/>
        <w:numPr>
          <w:ilvl w:val="0"/>
          <w:numId w:val="3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realizáciou </w:t>
      </w:r>
      <w:r w:rsidR="000F586D" w:rsidRPr="00AF31B2">
        <w:rPr>
          <w:sz w:val="21"/>
          <w:szCs w:val="21"/>
        </w:rPr>
        <w:t>akejkoľvek aktivity</w:t>
      </w:r>
      <w:r w:rsidR="007300D1" w:rsidRPr="00AF31B2">
        <w:rPr>
          <w:sz w:val="21"/>
          <w:szCs w:val="21"/>
        </w:rPr>
        <w:t xml:space="preserve"> školy</w:t>
      </w:r>
      <w:r w:rsidR="000F586D" w:rsidRPr="00AF31B2">
        <w:rPr>
          <w:sz w:val="21"/>
          <w:szCs w:val="21"/>
        </w:rPr>
        <w:t xml:space="preserve"> spojenej </w:t>
      </w:r>
      <w:r w:rsidR="00D7439D" w:rsidRPr="00AF31B2">
        <w:rPr>
          <w:sz w:val="21"/>
          <w:szCs w:val="21"/>
        </w:rPr>
        <w:t>s</w:t>
      </w:r>
      <w:r w:rsidR="005D6606" w:rsidRPr="00AF31B2">
        <w:rPr>
          <w:sz w:val="21"/>
          <w:szCs w:val="21"/>
        </w:rPr>
        <w:t> </w:t>
      </w:r>
      <w:r w:rsidR="00D7439D" w:rsidRPr="00AF31B2">
        <w:rPr>
          <w:sz w:val="21"/>
          <w:szCs w:val="21"/>
        </w:rPr>
        <w:t>testovaním</w:t>
      </w:r>
      <w:r w:rsidR="005D6606" w:rsidRPr="00AF31B2">
        <w:rPr>
          <w:sz w:val="21"/>
          <w:szCs w:val="21"/>
        </w:rPr>
        <w:t xml:space="preserve"> dieťaťa</w:t>
      </w:r>
      <w:r w:rsidR="000F586D" w:rsidRPr="00AF31B2">
        <w:rPr>
          <w:sz w:val="21"/>
          <w:szCs w:val="21"/>
        </w:rPr>
        <w:t xml:space="preserve"> na COVID19,</w:t>
      </w:r>
    </w:p>
    <w:p w:rsidR="00FC4B03" w:rsidRPr="00AF31B2" w:rsidRDefault="005A751B" w:rsidP="00FC4B03">
      <w:pPr>
        <w:pStyle w:val="Odsekzoznamu"/>
        <w:numPr>
          <w:ilvl w:val="0"/>
          <w:numId w:val="3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realizáciou </w:t>
      </w:r>
      <w:r w:rsidR="000F586D" w:rsidRPr="00AF31B2">
        <w:rPr>
          <w:sz w:val="21"/>
          <w:szCs w:val="21"/>
        </w:rPr>
        <w:t xml:space="preserve">akejkoľvek aktivity </w:t>
      </w:r>
      <w:r w:rsidR="007300D1" w:rsidRPr="00AF31B2">
        <w:rPr>
          <w:sz w:val="21"/>
          <w:szCs w:val="21"/>
        </w:rPr>
        <w:t xml:space="preserve">školy </w:t>
      </w:r>
      <w:r w:rsidR="000F586D" w:rsidRPr="00AF31B2">
        <w:rPr>
          <w:sz w:val="21"/>
          <w:szCs w:val="21"/>
        </w:rPr>
        <w:t xml:space="preserve">spojenej s očkovaním </w:t>
      </w:r>
      <w:r w:rsidR="005D6606" w:rsidRPr="00AF31B2">
        <w:rPr>
          <w:sz w:val="21"/>
          <w:szCs w:val="21"/>
        </w:rPr>
        <w:t>dieťaťa</w:t>
      </w:r>
      <w:r w:rsidR="000F586D" w:rsidRPr="00AF31B2">
        <w:rPr>
          <w:sz w:val="21"/>
          <w:szCs w:val="21"/>
        </w:rPr>
        <w:t xml:space="preserve"> </w:t>
      </w:r>
      <w:r w:rsidR="005D6606" w:rsidRPr="00AF31B2">
        <w:rPr>
          <w:sz w:val="21"/>
          <w:szCs w:val="21"/>
        </w:rPr>
        <w:t>proti</w:t>
      </w:r>
      <w:r w:rsidR="000F586D" w:rsidRPr="00AF31B2">
        <w:rPr>
          <w:sz w:val="21"/>
          <w:szCs w:val="21"/>
        </w:rPr>
        <w:t xml:space="preserve"> COVID19</w:t>
      </w:r>
      <w:r w:rsidR="00FC4B03" w:rsidRPr="00AF31B2">
        <w:rPr>
          <w:sz w:val="21"/>
          <w:szCs w:val="21"/>
        </w:rPr>
        <w:t>,</w:t>
      </w:r>
    </w:p>
    <w:p w:rsidR="005872AE" w:rsidRDefault="00FC4B03" w:rsidP="00AF31B2">
      <w:pPr>
        <w:pStyle w:val="Odsekzoznamu"/>
        <w:numPr>
          <w:ilvl w:val="0"/>
          <w:numId w:val="3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>nútením dieťaťa prekryť si dýchacie cesty v škole použitím akéhokoľvek nátlaku</w:t>
      </w:r>
      <w:r w:rsidR="005872AE" w:rsidRPr="00AF31B2">
        <w:rPr>
          <w:sz w:val="21"/>
          <w:szCs w:val="21"/>
        </w:rPr>
        <w:t>, či už fyzického alebo psychického</w:t>
      </w:r>
      <w:r w:rsidRPr="00AF31B2">
        <w:rPr>
          <w:sz w:val="21"/>
          <w:szCs w:val="21"/>
        </w:rPr>
        <w:t>.</w:t>
      </w:r>
    </w:p>
    <w:p w:rsidR="00AF31B2" w:rsidRPr="00AF31B2" w:rsidRDefault="00AF31B2" w:rsidP="00AF31B2">
      <w:pPr>
        <w:pStyle w:val="Odsekzoznamu"/>
        <w:numPr>
          <w:ilvl w:val="0"/>
          <w:numId w:val="0"/>
        </w:numPr>
        <w:spacing w:line="276" w:lineRule="auto"/>
        <w:ind w:left="720"/>
        <w:rPr>
          <w:sz w:val="21"/>
          <w:szCs w:val="21"/>
        </w:rPr>
      </w:pPr>
    </w:p>
    <w:p w:rsidR="00A04874" w:rsidRPr="00AF31B2" w:rsidRDefault="00964EDA" w:rsidP="001F613D">
      <w:pPr>
        <w:pStyle w:val="Odsekzoznamu"/>
        <w:numPr>
          <w:ilvl w:val="0"/>
          <w:numId w:val="3"/>
        </w:numPr>
        <w:spacing w:line="276" w:lineRule="auto"/>
        <w:jc w:val="left"/>
        <w:rPr>
          <w:b/>
          <w:sz w:val="21"/>
          <w:szCs w:val="21"/>
        </w:rPr>
      </w:pPr>
      <w:r w:rsidRPr="00AF31B2">
        <w:rPr>
          <w:b/>
          <w:sz w:val="21"/>
          <w:szCs w:val="21"/>
        </w:rPr>
        <w:t>ZÁKLADNÉ VÝCHODISKÁ</w:t>
      </w:r>
    </w:p>
    <w:p w:rsidR="001F613D" w:rsidRPr="00AF31B2" w:rsidRDefault="001F613D" w:rsidP="001F613D">
      <w:pPr>
        <w:pStyle w:val="Odsekzoznamu"/>
        <w:numPr>
          <w:ilvl w:val="0"/>
          <w:numId w:val="0"/>
        </w:numPr>
        <w:spacing w:line="276" w:lineRule="auto"/>
        <w:ind w:left="360"/>
        <w:jc w:val="left"/>
        <w:rPr>
          <w:b/>
          <w:sz w:val="21"/>
          <w:szCs w:val="21"/>
        </w:rPr>
      </w:pPr>
    </w:p>
    <w:p w:rsidR="003B3B17" w:rsidRPr="00AF31B2" w:rsidRDefault="00D64EC0" w:rsidP="005A751B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Právo na vzdelanie je upravené </w:t>
      </w:r>
      <w:r w:rsidR="00B63816" w:rsidRPr="00AF31B2">
        <w:rPr>
          <w:sz w:val="21"/>
          <w:szCs w:val="21"/>
        </w:rPr>
        <w:t xml:space="preserve">v </w:t>
      </w:r>
      <w:r w:rsidRPr="00AF31B2">
        <w:rPr>
          <w:sz w:val="21"/>
          <w:szCs w:val="21"/>
        </w:rPr>
        <w:t xml:space="preserve">zákone č. 460/1992 Zb. Ústava Slovenskej republiky v znení neskorších ústavných zákonov (ďalej len </w:t>
      </w:r>
      <w:r w:rsidRPr="00AF31B2">
        <w:rPr>
          <w:i/>
          <w:sz w:val="21"/>
          <w:szCs w:val="21"/>
        </w:rPr>
        <w:t>„Ústava SR“</w:t>
      </w:r>
      <w:r w:rsidRPr="00AF31B2">
        <w:rPr>
          <w:sz w:val="21"/>
          <w:szCs w:val="21"/>
        </w:rPr>
        <w:t xml:space="preserve">) v článku 42 ods. 1 prvá a druhá veta: </w:t>
      </w:r>
      <w:r w:rsidRPr="00AF31B2">
        <w:rPr>
          <w:b/>
          <w:i/>
          <w:sz w:val="21"/>
          <w:szCs w:val="21"/>
        </w:rPr>
        <w:t>„</w:t>
      </w:r>
      <w:r w:rsidR="005A751B" w:rsidRPr="00AF31B2">
        <w:rPr>
          <w:b/>
          <w:i/>
          <w:sz w:val="21"/>
          <w:szCs w:val="21"/>
        </w:rPr>
        <w:t>Každý má právo na vzdelanie. Školská dochádzka je povinná.“</w:t>
      </w:r>
      <w:r w:rsidR="005A751B" w:rsidRPr="00AF31B2">
        <w:rPr>
          <w:b/>
          <w:sz w:val="21"/>
          <w:szCs w:val="21"/>
        </w:rPr>
        <w:t xml:space="preserve">. </w:t>
      </w:r>
      <w:r w:rsidRPr="00AF31B2">
        <w:rPr>
          <w:sz w:val="21"/>
          <w:szCs w:val="21"/>
        </w:rPr>
        <w:t xml:space="preserve">V ďalšom je právo na vzdelanie </w:t>
      </w:r>
      <w:r w:rsidR="00AF31B2">
        <w:rPr>
          <w:sz w:val="21"/>
          <w:szCs w:val="21"/>
        </w:rPr>
        <w:t>upravené</w:t>
      </w:r>
      <w:r w:rsidRPr="00AF31B2">
        <w:rPr>
          <w:sz w:val="21"/>
          <w:szCs w:val="21"/>
        </w:rPr>
        <w:t xml:space="preserve"> v článku 13 Medzinárodného paktu o hospodárskych, sociálnych a kultúrnych právach, v Dodatkovom protokole č. 1 k Dohovoru o ochrane ľudských práv a základných slobôd, kde prvá veta článku 2 znie: </w:t>
      </w:r>
      <w:r w:rsidRPr="00AF31B2">
        <w:rPr>
          <w:b/>
          <w:i/>
          <w:sz w:val="21"/>
          <w:szCs w:val="21"/>
        </w:rPr>
        <w:t>„</w:t>
      </w:r>
      <w:r w:rsidR="005A751B" w:rsidRPr="00AF31B2">
        <w:rPr>
          <w:b/>
          <w:i/>
          <w:sz w:val="21"/>
          <w:szCs w:val="21"/>
        </w:rPr>
        <w:t>Nikomu sa nesmie odoprieť právo na vzdelanie.</w:t>
      </w:r>
      <w:r w:rsidRPr="00AF31B2">
        <w:rPr>
          <w:b/>
          <w:i/>
          <w:sz w:val="21"/>
          <w:szCs w:val="21"/>
        </w:rPr>
        <w:t>“</w:t>
      </w:r>
      <w:r w:rsidR="005A751B" w:rsidRPr="00AF31B2">
        <w:rPr>
          <w:b/>
          <w:sz w:val="21"/>
          <w:szCs w:val="21"/>
        </w:rPr>
        <w:t>.</w:t>
      </w:r>
      <w:r w:rsidRPr="00AF31B2">
        <w:rPr>
          <w:sz w:val="21"/>
          <w:szCs w:val="21"/>
        </w:rPr>
        <w:t xml:space="preserve"> Ďalej je právo na vzdelanie upravené v článku 33 Listiny základných práv a slobôd, a v neposlednom rade v článku 28 Dohovoru o právach dieťaťa.</w:t>
      </w:r>
    </w:p>
    <w:p w:rsidR="005B5B94" w:rsidRPr="00AF31B2" w:rsidRDefault="005B5B94" w:rsidP="005B5B94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5B5B94" w:rsidRPr="00AF31B2" w:rsidRDefault="005B5B94" w:rsidP="005A751B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rFonts w:ascii="Calibri" w:hAnsi="Calibri" w:cs="Calibri"/>
          <w:bCs/>
          <w:sz w:val="21"/>
          <w:szCs w:val="21"/>
        </w:rPr>
        <w:t>Článok 2 ods. 1 prvá veta Dohovoru</w:t>
      </w:r>
      <w:r w:rsidRPr="00AF31B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AF31B2">
        <w:rPr>
          <w:sz w:val="21"/>
          <w:szCs w:val="21"/>
        </w:rPr>
        <w:t xml:space="preserve">o ochrane ľudských práv a základných slobôd (ďalej len </w:t>
      </w:r>
      <w:r w:rsidRPr="00AF31B2">
        <w:rPr>
          <w:i/>
          <w:sz w:val="21"/>
          <w:szCs w:val="21"/>
        </w:rPr>
        <w:t>„Dohovor“</w:t>
      </w:r>
      <w:r w:rsidRPr="00AF31B2">
        <w:rPr>
          <w:sz w:val="21"/>
          <w:szCs w:val="21"/>
        </w:rPr>
        <w:t xml:space="preserve">) </w:t>
      </w:r>
      <w:r w:rsidRPr="00AF31B2">
        <w:rPr>
          <w:rFonts w:ascii="Calibri" w:hAnsi="Calibri" w:cs="Calibri"/>
          <w:bCs/>
          <w:sz w:val="21"/>
          <w:szCs w:val="21"/>
        </w:rPr>
        <w:t>zabezpečuje ochranu základné</w:t>
      </w:r>
      <w:r w:rsidR="004B3913" w:rsidRPr="00AF31B2">
        <w:rPr>
          <w:rFonts w:ascii="Calibri" w:hAnsi="Calibri" w:cs="Calibri"/>
          <w:bCs/>
          <w:sz w:val="21"/>
          <w:szCs w:val="21"/>
        </w:rPr>
        <w:t>ho</w:t>
      </w:r>
      <w:r w:rsidRPr="00AF31B2">
        <w:rPr>
          <w:rFonts w:ascii="Calibri" w:hAnsi="Calibri" w:cs="Calibri"/>
          <w:bCs/>
          <w:sz w:val="21"/>
          <w:szCs w:val="21"/>
        </w:rPr>
        <w:t xml:space="preserve"> práva, a to „Právo na život“: </w:t>
      </w:r>
      <w:r w:rsidRPr="00AF31B2">
        <w:rPr>
          <w:rFonts w:ascii="Calibri" w:hAnsi="Calibri" w:cs="Calibri"/>
          <w:b/>
          <w:bCs/>
          <w:i/>
          <w:sz w:val="21"/>
          <w:szCs w:val="21"/>
        </w:rPr>
        <w:t>„Právo každého na život je chránené zákonom.“</w:t>
      </w:r>
      <w:r w:rsidRPr="00AF31B2">
        <w:rPr>
          <w:rFonts w:ascii="Calibri" w:hAnsi="Calibri" w:cs="Calibri"/>
          <w:bCs/>
          <w:sz w:val="21"/>
          <w:szCs w:val="21"/>
        </w:rPr>
        <w:t>.</w:t>
      </w:r>
    </w:p>
    <w:p w:rsidR="005A751B" w:rsidRPr="00AF31B2" w:rsidRDefault="005A751B" w:rsidP="005A751B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4B3913" w:rsidRPr="00AF31B2" w:rsidRDefault="007300D1" w:rsidP="00AF31B2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>Č</w:t>
      </w:r>
      <w:r w:rsidR="00D64EC0" w:rsidRPr="00AF31B2">
        <w:rPr>
          <w:sz w:val="21"/>
          <w:szCs w:val="21"/>
        </w:rPr>
        <w:t xml:space="preserve">lánok </w:t>
      </w:r>
      <w:r w:rsidR="00B63816" w:rsidRPr="00AF31B2">
        <w:rPr>
          <w:sz w:val="21"/>
          <w:szCs w:val="21"/>
        </w:rPr>
        <w:t>14 Dohovoru upravuje „Zákaz diskriminácie“</w:t>
      </w:r>
      <w:r w:rsidRPr="00AF31B2">
        <w:rPr>
          <w:sz w:val="21"/>
          <w:szCs w:val="21"/>
        </w:rPr>
        <w:t xml:space="preserve">: </w:t>
      </w:r>
      <w:r w:rsidR="00B63816" w:rsidRPr="00AF31B2">
        <w:rPr>
          <w:sz w:val="21"/>
          <w:szCs w:val="21"/>
        </w:rPr>
        <w:t>„</w:t>
      </w:r>
      <w:r w:rsidR="00B63816" w:rsidRPr="00AF31B2">
        <w:rPr>
          <w:b/>
          <w:i/>
          <w:sz w:val="21"/>
          <w:szCs w:val="21"/>
        </w:rPr>
        <w:t xml:space="preserve">Užívanie práv a slobôd priznaných týmto Dohovorom sa musí zabezpečiť bez diskriminácie </w:t>
      </w:r>
      <w:r w:rsidR="00B63816" w:rsidRPr="00AF31B2">
        <w:rPr>
          <w:i/>
          <w:sz w:val="21"/>
          <w:szCs w:val="21"/>
        </w:rPr>
        <w:t>založenej na akomkoľvek dôvode, ako je ...</w:t>
      </w:r>
      <w:r w:rsidR="00B63816" w:rsidRPr="00AF31B2">
        <w:rPr>
          <w:b/>
          <w:i/>
          <w:sz w:val="21"/>
          <w:szCs w:val="21"/>
        </w:rPr>
        <w:t xml:space="preserve"> </w:t>
      </w:r>
      <w:r w:rsidR="00B63816" w:rsidRPr="00AF31B2">
        <w:rPr>
          <w:b/>
          <w:i/>
          <w:sz w:val="21"/>
          <w:szCs w:val="21"/>
          <w:u w:val="single"/>
        </w:rPr>
        <w:t>iné postavenie</w:t>
      </w:r>
      <w:r w:rsidR="00B63816" w:rsidRPr="00AF31B2">
        <w:rPr>
          <w:b/>
          <w:i/>
          <w:sz w:val="21"/>
          <w:szCs w:val="21"/>
        </w:rPr>
        <w:t>.“</w:t>
      </w:r>
      <w:r w:rsidR="00B63816" w:rsidRPr="00AF31B2">
        <w:rPr>
          <w:sz w:val="21"/>
          <w:szCs w:val="21"/>
        </w:rPr>
        <w:t xml:space="preserve">. </w:t>
      </w:r>
      <w:r w:rsidR="004B3913" w:rsidRPr="00AF31B2">
        <w:rPr>
          <w:sz w:val="21"/>
          <w:szCs w:val="21"/>
        </w:rPr>
        <w:t xml:space="preserve">Ľudským právom, ktorým je aj právo na vzdelanie upravené v Dodatkovom protokole č. 1 k Dohovoru, sa sleduje </w:t>
      </w:r>
      <w:r w:rsidR="004B3913" w:rsidRPr="00AF31B2">
        <w:rPr>
          <w:b/>
          <w:sz w:val="21"/>
          <w:szCs w:val="21"/>
        </w:rPr>
        <w:t>zabezpečenie rovnakého prístupu pre každého k vzdelávacím inštitúciám</w:t>
      </w:r>
      <w:r w:rsidR="004B3913" w:rsidRPr="00AF31B2">
        <w:rPr>
          <w:sz w:val="21"/>
          <w:szCs w:val="21"/>
        </w:rPr>
        <w:t xml:space="preserve">, ktoré existujú v danej dobe. V tomto smere </w:t>
      </w:r>
      <w:r w:rsidR="004B3913" w:rsidRPr="00AF31B2">
        <w:rPr>
          <w:b/>
          <w:sz w:val="21"/>
          <w:szCs w:val="21"/>
          <w:u w:val="single"/>
        </w:rPr>
        <w:t>sa právo na vzdelanie dopĺňa zákazom diskriminácie</w:t>
      </w:r>
      <w:r w:rsidR="004B3913" w:rsidRPr="00AF31B2">
        <w:rPr>
          <w:sz w:val="21"/>
          <w:szCs w:val="21"/>
        </w:rPr>
        <w:t>. Európsky súd pre ľudské práva dbá o to,</w:t>
      </w:r>
      <w:r w:rsidR="004B3913" w:rsidRPr="00AF31B2">
        <w:rPr>
          <w:b/>
          <w:sz w:val="21"/>
          <w:szCs w:val="21"/>
        </w:rPr>
        <w:t xml:space="preserve"> aby štát zabezpečil každému oprávnenému subjektu prístup k vzdelávaniu za rovnakých podmienok a bez diskriminácie</w:t>
      </w:r>
      <w:r w:rsidR="004B3913" w:rsidRPr="00AF31B2">
        <w:rPr>
          <w:sz w:val="21"/>
          <w:szCs w:val="21"/>
        </w:rPr>
        <w:t>.</w:t>
      </w:r>
    </w:p>
    <w:p w:rsidR="001F613D" w:rsidRPr="00AF31B2" w:rsidRDefault="004B3913" w:rsidP="004B3913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lastRenderedPageBreak/>
        <w:t xml:space="preserve">Subjekt práva na vzdelanie je vymedzený všeobecne, a to tak, že nikomu sa nesmie odoprieť právo na vzdelanie. Právo na vzdelanie z hľadiska subjektu práva na vzdelanie predstavuje predovšetkým právo na prístup k vzdelaniu, ktorý </w:t>
      </w:r>
      <w:r w:rsidRPr="00AF31B2">
        <w:rPr>
          <w:b/>
          <w:sz w:val="21"/>
          <w:szCs w:val="21"/>
        </w:rPr>
        <w:t>štát musí zabezpečiť</w:t>
      </w:r>
      <w:r w:rsidRPr="00AF31B2">
        <w:rPr>
          <w:sz w:val="21"/>
          <w:szCs w:val="21"/>
        </w:rPr>
        <w:t xml:space="preserve"> </w:t>
      </w:r>
      <w:r w:rsidRPr="00AF31B2">
        <w:rPr>
          <w:b/>
          <w:sz w:val="21"/>
          <w:szCs w:val="21"/>
          <w:u w:val="single"/>
        </w:rPr>
        <w:t>pre každého</w:t>
      </w:r>
      <w:r w:rsidRPr="00AF31B2">
        <w:rPr>
          <w:sz w:val="21"/>
          <w:szCs w:val="21"/>
        </w:rPr>
        <w:t xml:space="preserve"> a </w:t>
      </w:r>
      <w:r w:rsidRPr="00AF31B2">
        <w:rPr>
          <w:b/>
          <w:sz w:val="21"/>
          <w:szCs w:val="21"/>
          <w:u w:val="single"/>
        </w:rPr>
        <w:t xml:space="preserve">za rovnakých podmienok. </w:t>
      </w:r>
      <w:r w:rsidR="00FC4B03" w:rsidRPr="00AF31B2">
        <w:rPr>
          <w:sz w:val="21"/>
          <w:szCs w:val="21"/>
        </w:rPr>
        <w:t>Podľa Sváka (2011)</w:t>
      </w:r>
      <w:r w:rsidR="00FC4B03" w:rsidRPr="00AF31B2">
        <w:rPr>
          <w:b/>
          <w:sz w:val="21"/>
          <w:szCs w:val="21"/>
        </w:rPr>
        <w:t xml:space="preserve"> </w:t>
      </w:r>
      <w:r w:rsidR="00FC4B03" w:rsidRPr="00AF31B2">
        <w:rPr>
          <w:b/>
          <w:i/>
          <w:sz w:val="21"/>
          <w:szCs w:val="21"/>
        </w:rPr>
        <w:t xml:space="preserve">„Základným a východiskovým princípom ľudských práv je </w:t>
      </w:r>
      <w:r w:rsidR="00FC4B03" w:rsidRPr="00AF31B2">
        <w:rPr>
          <w:b/>
          <w:i/>
          <w:sz w:val="21"/>
          <w:szCs w:val="21"/>
          <w:u w:val="single"/>
        </w:rPr>
        <w:t>rovnosť pri ich výkone a ochrane</w:t>
      </w:r>
      <w:r w:rsidR="00FC4B03" w:rsidRPr="00AF31B2">
        <w:rPr>
          <w:i/>
          <w:sz w:val="21"/>
          <w:szCs w:val="21"/>
        </w:rPr>
        <w:t>.“</w:t>
      </w:r>
      <w:r w:rsidR="00FC4B03" w:rsidRPr="00AF31B2">
        <w:rPr>
          <w:sz w:val="21"/>
          <w:szCs w:val="21"/>
        </w:rPr>
        <w:t>. Bez tohto princípu by bolo posudzovanie porušovania ľudských práv nespravodlivé a smerovalo by proti základným cieľom, ktoré vychádzajú z Dohovoru.</w:t>
      </w:r>
    </w:p>
    <w:p w:rsidR="00B86B48" w:rsidRPr="00AF31B2" w:rsidRDefault="00B86B48" w:rsidP="00B86B48">
      <w:pPr>
        <w:pStyle w:val="Odsekzoznamu"/>
        <w:numPr>
          <w:ilvl w:val="0"/>
          <w:numId w:val="0"/>
        </w:numPr>
        <w:ind w:left="360"/>
        <w:rPr>
          <w:sz w:val="21"/>
          <w:szCs w:val="21"/>
        </w:rPr>
      </w:pPr>
    </w:p>
    <w:p w:rsidR="00B86B48" w:rsidRPr="00AF31B2" w:rsidRDefault="00B86B48" w:rsidP="00B86B48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>Veľká komora Európskeho súdu pre ľudské práva sa zaoberal</w:t>
      </w:r>
      <w:r w:rsidR="00AF31B2">
        <w:rPr>
          <w:sz w:val="21"/>
          <w:szCs w:val="21"/>
        </w:rPr>
        <w:t>a</w:t>
      </w:r>
      <w:r w:rsidRPr="00AF31B2">
        <w:rPr>
          <w:b/>
          <w:sz w:val="21"/>
          <w:szCs w:val="21"/>
        </w:rPr>
        <w:t xml:space="preserve"> otázkou diskriminácie vo vzťahu k právu na vzdelanie </w:t>
      </w:r>
      <w:r w:rsidRPr="00AF31B2">
        <w:rPr>
          <w:sz w:val="21"/>
          <w:szCs w:val="21"/>
        </w:rPr>
        <w:t>v prípade D. H. a ostatní c. Česká republika (</w:t>
      </w:r>
      <w:r w:rsidRPr="00AF31B2">
        <w:rPr>
          <w:i/>
          <w:sz w:val="21"/>
          <w:szCs w:val="21"/>
        </w:rPr>
        <w:t xml:space="preserve">rozhodnutie zo 7. februára 2006 týkajúce sa sťažnosti </w:t>
      </w:r>
      <w:r w:rsidR="00AF31B2">
        <w:rPr>
          <w:i/>
          <w:sz w:val="21"/>
          <w:szCs w:val="21"/>
        </w:rPr>
        <w:t xml:space="preserve">    </w:t>
      </w:r>
      <w:r w:rsidRPr="00AF31B2">
        <w:rPr>
          <w:i/>
          <w:sz w:val="21"/>
          <w:szCs w:val="21"/>
        </w:rPr>
        <w:t>č. 57325/00 zo dňa 1. marca 2005</w:t>
      </w:r>
      <w:r w:rsidRPr="00AF31B2">
        <w:rPr>
          <w:sz w:val="21"/>
          <w:szCs w:val="21"/>
        </w:rPr>
        <w:t xml:space="preserve">). </w:t>
      </w:r>
      <w:r w:rsidRPr="00AF31B2">
        <w:rPr>
          <w:b/>
          <w:sz w:val="21"/>
          <w:szCs w:val="21"/>
        </w:rPr>
        <w:t>Veľká komora rozhodla, že článok 2 Dodatkového protokolu č. 1 k Dohovoru bol porušený</w:t>
      </w:r>
      <w:r w:rsidRPr="00AF31B2">
        <w:rPr>
          <w:sz w:val="21"/>
          <w:szCs w:val="21"/>
        </w:rPr>
        <w:t xml:space="preserve"> (nielen, avšak najmä) preto, že štát:</w:t>
      </w:r>
    </w:p>
    <w:p w:rsidR="00B86B48" w:rsidRPr="00AF31B2" w:rsidRDefault="00B86B48" w:rsidP="00B86B48">
      <w:pPr>
        <w:pStyle w:val="Odsekzoznamu"/>
        <w:numPr>
          <w:ilvl w:val="1"/>
          <w:numId w:val="5"/>
        </w:numPr>
        <w:spacing w:line="276" w:lineRule="auto"/>
        <w:rPr>
          <w:sz w:val="21"/>
          <w:szCs w:val="21"/>
        </w:rPr>
      </w:pPr>
      <w:r w:rsidRPr="00AF31B2">
        <w:rPr>
          <w:b/>
          <w:sz w:val="21"/>
          <w:szCs w:val="21"/>
          <w:u w:val="single"/>
        </w:rPr>
        <w:t>nezohľadnil osobitné potreby členov znevýhodnenej komunity</w:t>
      </w:r>
      <w:r w:rsidRPr="00AF31B2">
        <w:rPr>
          <w:sz w:val="21"/>
          <w:szCs w:val="21"/>
        </w:rPr>
        <w:t xml:space="preserve">, </w:t>
      </w:r>
    </w:p>
    <w:p w:rsidR="00B86B48" w:rsidRPr="00AF31B2" w:rsidRDefault="00B86B48" w:rsidP="00B86B48">
      <w:pPr>
        <w:pStyle w:val="Odsekzoznamu"/>
        <w:numPr>
          <w:ilvl w:val="1"/>
          <w:numId w:val="5"/>
        </w:numPr>
        <w:spacing w:line="276" w:lineRule="auto"/>
        <w:rPr>
          <w:sz w:val="21"/>
          <w:szCs w:val="21"/>
        </w:rPr>
      </w:pPr>
      <w:r w:rsidRPr="00AF31B2">
        <w:rPr>
          <w:b/>
          <w:sz w:val="21"/>
          <w:szCs w:val="21"/>
          <w:u w:val="single"/>
        </w:rPr>
        <w:t>izoloval tieto deti od širšej populácie</w:t>
      </w:r>
      <w:r w:rsidRPr="00AF31B2">
        <w:rPr>
          <w:sz w:val="21"/>
          <w:szCs w:val="21"/>
        </w:rPr>
        <w:t>.</w:t>
      </w:r>
    </w:p>
    <w:p w:rsidR="007300D1" w:rsidRPr="00AF31B2" w:rsidRDefault="007300D1" w:rsidP="007300D1">
      <w:pPr>
        <w:pStyle w:val="Odsekzoznamu"/>
        <w:numPr>
          <w:ilvl w:val="0"/>
          <w:numId w:val="0"/>
        </w:numPr>
        <w:spacing w:line="276" w:lineRule="auto"/>
        <w:ind w:left="1440"/>
        <w:rPr>
          <w:sz w:val="21"/>
          <w:szCs w:val="21"/>
        </w:rPr>
      </w:pPr>
    </w:p>
    <w:p w:rsidR="00B86B48" w:rsidRPr="00AF31B2" w:rsidRDefault="00B86B48" w:rsidP="00B86B48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b/>
          <w:sz w:val="21"/>
          <w:szCs w:val="21"/>
        </w:rPr>
        <w:t>Všeobecný zákaz diskriminácie</w:t>
      </w:r>
      <w:r w:rsidRPr="00AF31B2">
        <w:rPr>
          <w:sz w:val="21"/>
          <w:szCs w:val="21"/>
        </w:rPr>
        <w:t xml:space="preserve"> je obsiahnutý v článku 1 Protokolu č. 12 k Európskemu dohovoru o ochrane ľudských práv a slobôd, a to nasledovne:</w:t>
      </w:r>
    </w:p>
    <w:p w:rsidR="00B86B48" w:rsidRPr="00AF31B2" w:rsidRDefault="00B86B48" w:rsidP="00B86B48">
      <w:pPr>
        <w:pStyle w:val="Odsekzoznamu"/>
        <w:numPr>
          <w:ilvl w:val="1"/>
          <w:numId w:val="5"/>
        </w:numPr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Užívanie všetkých práv ustanovených zákonom </w:t>
      </w:r>
      <w:r w:rsidRPr="00AF31B2">
        <w:rPr>
          <w:b/>
          <w:sz w:val="21"/>
          <w:szCs w:val="21"/>
        </w:rPr>
        <w:t>sa zabezpečuje bez diskriminácie z akéhokoľvek dôvodu, ako je (...) iné postavenie</w:t>
      </w:r>
      <w:r w:rsidRPr="00AF31B2">
        <w:rPr>
          <w:sz w:val="21"/>
          <w:szCs w:val="21"/>
        </w:rPr>
        <w:t>.</w:t>
      </w:r>
    </w:p>
    <w:p w:rsidR="00B86B48" w:rsidRPr="00AF31B2" w:rsidRDefault="00B86B48" w:rsidP="00FC4B03">
      <w:pPr>
        <w:pStyle w:val="Odsekzoznamu"/>
        <w:numPr>
          <w:ilvl w:val="1"/>
          <w:numId w:val="5"/>
        </w:numPr>
        <w:spacing w:line="276" w:lineRule="auto"/>
        <w:rPr>
          <w:sz w:val="21"/>
          <w:szCs w:val="21"/>
        </w:rPr>
      </w:pPr>
      <w:r w:rsidRPr="00AF31B2">
        <w:rPr>
          <w:b/>
          <w:sz w:val="21"/>
          <w:szCs w:val="21"/>
        </w:rPr>
        <w:t>Nikto nesmie byť diskriminovaný akýmkoľvek verejným orgánom z akýchkoľvek dôvodov</w:t>
      </w:r>
      <w:r w:rsidRPr="00AF31B2">
        <w:rPr>
          <w:sz w:val="21"/>
          <w:szCs w:val="21"/>
        </w:rPr>
        <w:t>, najmä ak sú dôvody uvedené v odseku 1.</w:t>
      </w:r>
    </w:p>
    <w:p w:rsidR="00B86B48" w:rsidRPr="00AF31B2" w:rsidRDefault="00B86B48" w:rsidP="004B3913">
      <w:pPr>
        <w:pStyle w:val="Odsekzoznamu"/>
        <w:numPr>
          <w:ilvl w:val="0"/>
          <w:numId w:val="0"/>
        </w:numPr>
        <w:ind w:left="360"/>
        <w:rPr>
          <w:sz w:val="21"/>
          <w:szCs w:val="21"/>
        </w:rPr>
      </w:pPr>
    </w:p>
    <w:p w:rsidR="001F613D" w:rsidRPr="00AF31B2" w:rsidRDefault="001F613D" w:rsidP="00FC4B03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Ústava SR ustanovuje v článku 2 ods. 2: </w:t>
      </w:r>
      <w:r w:rsidRPr="00AF31B2">
        <w:rPr>
          <w:b/>
          <w:i/>
          <w:sz w:val="21"/>
          <w:szCs w:val="21"/>
        </w:rPr>
        <w:t xml:space="preserve">„Štátne orgány môžu konať iba na základe ústavy, v jej medziach a v rozsahu a spôsobom, ktorý ustanoví </w:t>
      </w:r>
      <w:r w:rsidRPr="00AF31B2">
        <w:rPr>
          <w:b/>
          <w:i/>
          <w:sz w:val="21"/>
          <w:szCs w:val="21"/>
          <w:u w:val="single"/>
        </w:rPr>
        <w:t>zákon</w:t>
      </w:r>
      <w:r w:rsidRPr="00AF31B2">
        <w:rPr>
          <w:b/>
          <w:i/>
          <w:sz w:val="21"/>
          <w:szCs w:val="21"/>
        </w:rPr>
        <w:t>.“</w:t>
      </w:r>
      <w:r w:rsidRPr="00AF31B2">
        <w:rPr>
          <w:b/>
          <w:sz w:val="21"/>
          <w:szCs w:val="21"/>
        </w:rPr>
        <w:t>.</w:t>
      </w:r>
      <w:r w:rsidRPr="00AF31B2">
        <w:rPr>
          <w:sz w:val="21"/>
          <w:szCs w:val="21"/>
        </w:rPr>
        <w:t xml:space="preserve"> </w:t>
      </w:r>
      <w:r w:rsidR="00FC4B03" w:rsidRPr="00AF31B2">
        <w:rPr>
          <w:sz w:val="21"/>
          <w:szCs w:val="21"/>
        </w:rPr>
        <w:t>Tu citovaný článok</w:t>
      </w:r>
      <w:r w:rsidRPr="00AF31B2">
        <w:rPr>
          <w:sz w:val="21"/>
          <w:szCs w:val="21"/>
        </w:rPr>
        <w:t xml:space="preserve"> Ústavy SR má podľa Drgonca (2019) zásadný význam pre charakter a chod Slovenskej republiky, no napriek tejto skutočnosti je najporušovanejšou ústavnou normou štátnymi orgánmi. Avšak, </w:t>
      </w:r>
      <w:r w:rsidRPr="00AF31B2">
        <w:rPr>
          <w:b/>
          <w:sz w:val="21"/>
          <w:szCs w:val="21"/>
        </w:rPr>
        <w:t>štátne orgány nemôžu všetko, ale naopak, smú len to, čo im Ústava SR výslovne dovoľuje</w:t>
      </w:r>
      <w:r w:rsidR="00FC4B03" w:rsidRPr="00AF31B2">
        <w:rPr>
          <w:sz w:val="21"/>
          <w:szCs w:val="21"/>
        </w:rPr>
        <w:t>.</w:t>
      </w:r>
    </w:p>
    <w:p w:rsidR="005872AE" w:rsidRPr="00AF31B2" w:rsidRDefault="005872AE" w:rsidP="005872AE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5872AE" w:rsidRPr="00AF31B2" w:rsidRDefault="003B3B17" w:rsidP="005872A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Článok </w:t>
      </w:r>
      <w:r w:rsidR="00D64EC0" w:rsidRPr="00AF31B2">
        <w:rPr>
          <w:sz w:val="21"/>
          <w:szCs w:val="21"/>
        </w:rPr>
        <w:t>13 ods. 2 Ústavy</w:t>
      </w:r>
      <w:r w:rsidRPr="00AF31B2">
        <w:rPr>
          <w:sz w:val="21"/>
          <w:szCs w:val="21"/>
        </w:rPr>
        <w:t xml:space="preserve"> SR</w:t>
      </w:r>
      <w:r w:rsidR="00D64EC0" w:rsidRPr="00AF31B2">
        <w:rPr>
          <w:sz w:val="21"/>
          <w:szCs w:val="21"/>
        </w:rPr>
        <w:t xml:space="preserve">: </w:t>
      </w:r>
      <w:r w:rsidR="00D64EC0" w:rsidRPr="00AF31B2">
        <w:rPr>
          <w:b/>
          <w:i/>
          <w:sz w:val="21"/>
          <w:szCs w:val="21"/>
        </w:rPr>
        <w:t>„</w:t>
      </w:r>
      <w:r w:rsidR="00B63816" w:rsidRPr="00AF31B2">
        <w:rPr>
          <w:b/>
          <w:i/>
          <w:sz w:val="21"/>
          <w:szCs w:val="21"/>
        </w:rPr>
        <w:t>Medze základných práv a slobôd možno upraviť za podmienok ustanovených touto ústavou len zákonom.</w:t>
      </w:r>
      <w:r w:rsidR="00B63816" w:rsidRPr="00AF31B2">
        <w:rPr>
          <w:sz w:val="21"/>
          <w:szCs w:val="21"/>
        </w:rPr>
        <w:t xml:space="preserve">“. </w:t>
      </w:r>
      <w:r w:rsidR="005872AE" w:rsidRPr="00AF31B2">
        <w:rPr>
          <w:rFonts w:ascii="Calibri" w:hAnsi="Calibri" w:cs="Calibri"/>
          <w:sz w:val="21"/>
          <w:szCs w:val="21"/>
        </w:rPr>
        <w:t xml:space="preserve">Inak povedané, </w:t>
      </w:r>
      <w:r w:rsidR="005872AE" w:rsidRPr="00AF31B2">
        <w:rPr>
          <w:rFonts w:ascii="Calibri" w:hAnsi="Calibri" w:cs="Calibri"/>
          <w:b/>
          <w:sz w:val="21"/>
          <w:szCs w:val="21"/>
        </w:rPr>
        <w:t xml:space="preserve">vyhláškami Úradu verejného zdravotníctva Slovenskej republiky, resp. regionálnych úradov verejného zdravotníctva, </w:t>
      </w:r>
      <w:r w:rsidR="005872AE" w:rsidRPr="00AF31B2">
        <w:rPr>
          <w:rFonts w:ascii="Calibri" w:hAnsi="Calibri" w:cs="Calibri"/>
          <w:b/>
          <w:sz w:val="21"/>
          <w:szCs w:val="21"/>
          <w:u w:val="single"/>
        </w:rPr>
        <w:t>nie je možné obmedziť základné ľudské práva a slobody</w:t>
      </w:r>
      <w:r w:rsidR="005872AE" w:rsidRPr="00AF31B2">
        <w:rPr>
          <w:rFonts w:ascii="Calibri" w:hAnsi="Calibri" w:cs="Calibri"/>
          <w:sz w:val="21"/>
          <w:szCs w:val="21"/>
        </w:rPr>
        <w:t>.</w:t>
      </w:r>
    </w:p>
    <w:p w:rsidR="005872AE" w:rsidRPr="00AF31B2" w:rsidRDefault="005872AE" w:rsidP="005872AE">
      <w:pPr>
        <w:pStyle w:val="Odsekzoznamu"/>
        <w:numPr>
          <w:ilvl w:val="0"/>
          <w:numId w:val="0"/>
        </w:numPr>
        <w:ind w:left="360"/>
        <w:rPr>
          <w:sz w:val="21"/>
          <w:szCs w:val="21"/>
        </w:rPr>
      </w:pPr>
    </w:p>
    <w:p w:rsidR="005872AE" w:rsidRPr="00AF31B2" w:rsidRDefault="001F613D" w:rsidP="005872A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V uvedenom kontexte je nevyhnutné poukázať na Nález Ústavného súdu Slovenskej republiky, sp. zn.: </w:t>
      </w:r>
      <w:r w:rsidRPr="00AF31B2">
        <w:rPr>
          <w:rFonts w:ascii="Calibri" w:hAnsi="Calibri" w:cs="Calibri"/>
          <w:noProof/>
          <w:sz w:val="21"/>
          <w:szCs w:val="21"/>
          <w:lang w:val="en-US"/>
        </w:rPr>
        <w:t xml:space="preserve">PL. ÚS 10/2013 z 10. decembra 2014, na ktorý sa Ústavný súd SR odvoláva </w:t>
      </w:r>
      <w:r w:rsidR="00AF31B2">
        <w:rPr>
          <w:rFonts w:ascii="Calibri" w:hAnsi="Calibri" w:cs="Calibri"/>
          <w:noProof/>
          <w:sz w:val="21"/>
          <w:szCs w:val="21"/>
          <w:lang w:val="en-US"/>
        </w:rPr>
        <w:t xml:space="preserve">aj </w:t>
      </w:r>
      <w:r w:rsidRPr="00AF31B2">
        <w:rPr>
          <w:rFonts w:ascii="Calibri" w:hAnsi="Calibri" w:cs="Calibri"/>
          <w:noProof/>
          <w:sz w:val="21"/>
          <w:szCs w:val="21"/>
          <w:lang w:val="en-US"/>
        </w:rPr>
        <w:t>v Náleze Ústavného súdu SR, sp. zn. PL. ÚS 22/2020-104 zo dňa 14. októbra 2020: „</w:t>
      </w:r>
      <w:r w:rsidRPr="00AF31B2">
        <w:rPr>
          <w:rFonts w:ascii="Calibri" w:hAnsi="Calibri" w:cs="Calibri"/>
          <w:b/>
          <w:i/>
          <w:noProof/>
          <w:sz w:val="21"/>
          <w:szCs w:val="21"/>
          <w:lang w:val="en-US"/>
        </w:rPr>
        <w:t xml:space="preserve">Ustanovenie čl. 13 ods. 2 ústavy upravuje tak materiálne, ako aj formálne predpoklady, pri splnení ktorých možno upraviť medze základných práv. Materiálnym predpokladom je súlad úpravy s konkrétnymi podmienkami, ktoré vo vzťahu k predmetným základným právam alebo slobodám ustanovuje ústava. Formálnym predpokladom je, že úprava je vydaná vo forme </w:t>
      </w:r>
      <w:r w:rsidRPr="00AF31B2">
        <w:rPr>
          <w:rFonts w:ascii="Calibri" w:hAnsi="Calibri" w:cs="Calibri"/>
          <w:b/>
          <w:i/>
          <w:noProof/>
          <w:sz w:val="21"/>
          <w:szCs w:val="21"/>
          <w:u w:val="single"/>
          <w:lang w:val="en-US"/>
        </w:rPr>
        <w:t>zákona</w:t>
      </w:r>
      <w:r w:rsidRPr="00AF31B2">
        <w:rPr>
          <w:rFonts w:ascii="Calibri" w:hAnsi="Calibri" w:cs="Calibri"/>
          <w:i/>
          <w:noProof/>
          <w:sz w:val="21"/>
          <w:szCs w:val="21"/>
          <w:lang w:val="en-US"/>
        </w:rPr>
        <w:t xml:space="preserve">. Axiologickou a teleologickou bázou čl. 13 ods. 2 ústavy sú hodnoty a princípy demokratického právneho štátu – suverenita zákonodarcu v spojení s princípom obmedzenej, konštitučnej vlády. Inými slovami, </w:t>
      </w:r>
      <w:r w:rsidRPr="00AF31B2">
        <w:rPr>
          <w:rFonts w:ascii="Calibri" w:hAnsi="Calibri" w:cs="Calibri"/>
          <w:b/>
          <w:i/>
          <w:noProof/>
          <w:sz w:val="21"/>
          <w:szCs w:val="21"/>
          <w:u w:val="single"/>
          <w:lang w:val="en-US"/>
        </w:rPr>
        <w:t>účelom čl. 13 ods. 2 ústavy je chrániť adresátov práva pred takými technikami právnej regulácie, ktoré sú typické pre tzv. policajné štáty; ide najmä o širokú diskrečnú právomoc exekutívy</w:t>
      </w:r>
      <w:r w:rsidRPr="00AF31B2">
        <w:rPr>
          <w:rFonts w:ascii="Calibri" w:hAnsi="Calibri" w:cs="Calibri"/>
          <w:b/>
          <w:i/>
          <w:noProof/>
          <w:sz w:val="21"/>
          <w:szCs w:val="21"/>
          <w:lang w:val="en-US"/>
        </w:rPr>
        <w:t xml:space="preserve"> vrátane jej možnosti upravovať kľúčové súradnice vzťahu medzi občanmi a mocou podzákonnými opatreniami. Predmetné ustanovenie tak slúži predovšetkým na to, aby iné orgány ako parlament nemohli výkon základných práv a slobôd podrobiť akýmkoľvek obmedzeniam idúcim nad rámec zákona</w:t>
      </w:r>
      <w:r w:rsidRPr="00AF31B2">
        <w:rPr>
          <w:rFonts w:ascii="Calibri" w:hAnsi="Calibri" w:cs="Calibri"/>
          <w:i/>
          <w:noProof/>
          <w:sz w:val="21"/>
          <w:szCs w:val="21"/>
          <w:lang w:val="en-US"/>
        </w:rPr>
        <w:t xml:space="preserve">. V skratke tak účinky predmetného ustanovenia možno zhrnúť takto: </w:t>
      </w:r>
      <w:r w:rsidRPr="00AF31B2">
        <w:rPr>
          <w:rFonts w:ascii="Calibri" w:hAnsi="Calibri" w:cs="Calibri"/>
          <w:b/>
          <w:i/>
          <w:noProof/>
          <w:sz w:val="21"/>
          <w:szCs w:val="21"/>
          <w:lang w:val="en-US"/>
        </w:rPr>
        <w:t xml:space="preserve">(i) </w:t>
      </w:r>
      <w:r w:rsidRPr="00AF31B2">
        <w:rPr>
          <w:rFonts w:ascii="Calibri" w:hAnsi="Calibri" w:cs="Calibri"/>
          <w:b/>
          <w:i/>
          <w:noProof/>
          <w:sz w:val="21"/>
          <w:szCs w:val="21"/>
          <w:u w:val="single"/>
          <w:lang w:val="en-US"/>
        </w:rPr>
        <w:t>medze základných práv a slobôd môže upraviť iba zákonodarca</w:t>
      </w:r>
      <w:r w:rsidRPr="00AF31B2">
        <w:rPr>
          <w:rFonts w:ascii="Calibri" w:hAnsi="Calibri" w:cs="Calibri"/>
          <w:b/>
          <w:i/>
          <w:noProof/>
          <w:sz w:val="21"/>
          <w:szCs w:val="21"/>
          <w:lang w:val="en-US"/>
        </w:rPr>
        <w:t xml:space="preserve">, pričom (ii) </w:t>
      </w:r>
      <w:r w:rsidRPr="00AF31B2">
        <w:rPr>
          <w:rFonts w:ascii="Calibri" w:hAnsi="Calibri" w:cs="Calibri"/>
          <w:b/>
          <w:i/>
          <w:noProof/>
          <w:sz w:val="21"/>
          <w:szCs w:val="21"/>
          <w:u w:val="single"/>
          <w:lang w:val="en-US"/>
        </w:rPr>
        <w:t>takáto zákonná úprava musí byť v súlade s podmienkami, ktoré vo vzťahu k dotknutým základným právam alebo slobodám ustanovuje ústava</w:t>
      </w:r>
      <w:r w:rsidRPr="00AF31B2">
        <w:rPr>
          <w:rFonts w:ascii="Calibri" w:hAnsi="Calibri" w:cs="Calibri"/>
          <w:i/>
          <w:noProof/>
          <w:sz w:val="21"/>
          <w:szCs w:val="21"/>
          <w:lang w:val="en-US"/>
        </w:rPr>
        <w:t xml:space="preserve"> (porov. nález ústavného súdu sp. zn. PL. ÚS 16/05 z 2. júla 2008).</w:t>
      </w:r>
      <w:r w:rsidRPr="00AF31B2">
        <w:rPr>
          <w:rFonts w:ascii="Calibri" w:hAnsi="Calibri" w:cs="Calibri"/>
          <w:noProof/>
          <w:sz w:val="21"/>
          <w:szCs w:val="21"/>
          <w:lang w:val="en-US"/>
        </w:rPr>
        <w:t xml:space="preserve">“. </w:t>
      </w:r>
    </w:p>
    <w:p w:rsidR="005872AE" w:rsidRPr="00AF31B2" w:rsidRDefault="005872AE" w:rsidP="005872AE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5872AE" w:rsidRPr="00AF31B2" w:rsidRDefault="005872AE" w:rsidP="005872A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lastRenderedPageBreak/>
        <w:t>Prvá veta článku 40 Ústavy SR</w:t>
      </w:r>
      <w:r w:rsidRPr="00AF31B2">
        <w:rPr>
          <w:b/>
          <w:i/>
          <w:sz w:val="21"/>
          <w:szCs w:val="21"/>
        </w:rPr>
        <w:t>: „Každý má právo na ochranu zdravia.“</w:t>
      </w:r>
      <w:r w:rsidRPr="00AF31B2">
        <w:rPr>
          <w:sz w:val="21"/>
          <w:szCs w:val="21"/>
        </w:rPr>
        <w:t xml:space="preserve">. </w:t>
      </w:r>
      <w:r w:rsidRPr="00AF31B2">
        <w:rPr>
          <w:rFonts w:ascii="Calibri" w:hAnsi="Calibri" w:cs="Calibri"/>
          <w:sz w:val="21"/>
          <w:szCs w:val="21"/>
        </w:rPr>
        <w:t>Podľa Drgonca (2019): „</w:t>
      </w:r>
      <w:r w:rsidRPr="00AF31B2">
        <w:rPr>
          <w:rFonts w:ascii="Calibri" w:hAnsi="Calibri" w:cs="Calibri"/>
          <w:i/>
          <w:sz w:val="21"/>
          <w:szCs w:val="21"/>
        </w:rPr>
        <w:t xml:space="preserve">V zhode s ostatnými ústavnými normami aj </w:t>
      </w:r>
      <w:r w:rsidRPr="00AF31B2">
        <w:rPr>
          <w:rFonts w:ascii="Calibri" w:hAnsi="Calibri" w:cs="Calibri"/>
          <w:b/>
          <w:i/>
          <w:sz w:val="21"/>
          <w:szCs w:val="21"/>
        </w:rPr>
        <w:t>prvou vetou článku 40 sa priznáva právo na ochranu zdravia jednotlivcom</w:t>
      </w:r>
      <w:r w:rsidRPr="00AF31B2">
        <w:rPr>
          <w:rFonts w:ascii="Calibri" w:hAnsi="Calibri" w:cs="Calibri"/>
          <w:i/>
          <w:sz w:val="21"/>
          <w:szCs w:val="21"/>
        </w:rPr>
        <w:t xml:space="preserve">. V rozsahu ochrany, aká sa touto vetou priznáva v sfére verejného zdravia, zaručuje sa ňou právo každého na tie zdravotnícke výkony, ktoré sa uskutočňujú podľa zákona č. 355/2007 Z. z. o ochrane, podpore a rozvoji verejného zdravia ...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Účelom úpravy prvej vety čl. 40 je priznanie práva na ochranu zdravia, a NIE USTANOVENIE POVINNOSTI CHRÁNIŤ SI ZDRAVIE ČI DAŤ SI CHRÁNIŤ ZDRAVIE AJ PROTI SVOJEJ VÔLI.</w:t>
      </w:r>
      <w:r w:rsidRPr="00AF31B2">
        <w:rPr>
          <w:rFonts w:ascii="Calibri" w:hAnsi="Calibri" w:cs="Calibri"/>
          <w:i/>
          <w:sz w:val="21"/>
          <w:szCs w:val="21"/>
        </w:rPr>
        <w:t>“</w:t>
      </w:r>
      <w:r w:rsidRPr="00AF31B2">
        <w:rPr>
          <w:rFonts w:ascii="Calibri" w:hAnsi="Calibri" w:cs="Calibri"/>
          <w:sz w:val="21"/>
          <w:szCs w:val="21"/>
        </w:rPr>
        <w:t>.</w:t>
      </w:r>
    </w:p>
    <w:p w:rsidR="005872AE" w:rsidRPr="00AF31B2" w:rsidRDefault="005872AE" w:rsidP="005872AE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5872AE" w:rsidRPr="00AF31B2" w:rsidRDefault="005872AE" w:rsidP="005872A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rFonts w:ascii="Calibri" w:hAnsi="Calibri" w:cs="Calibri"/>
          <w:sz w:val="21"/>
          <w:szCs w:val="21"/>
        </w:rPr>
        <w:t>Nález Ústavného súdu Slovenskej republiky, sp. zn. PL. ÚS 16/05 z 2. júla 2008:</w:t>
      </w:r>
      <w:r w:rsidRPr="00AF31B2">
        <w:rPr>
          <w:rFonts w:ascii="Calibri" w:hAnsi="Calibri" w:cs="Calibri"/>
          <w:b/>
          <w:sz w:val="21"/>
          <w:szCs w:val="21"/>
        </w:rPr>
        <w:t xml:space="preserve"> </w:t>
      </w:r>
      <w:r w:rsidRPr="00AF31B2">
        <w:rPr>
          <w:rFonts w:ascii="Calibri" w:hAnsi="Calibri" w:cs="Calibri"/>
          <w:sz w:val="21"/>
          <w:szCs w:val="21"/>
        </w:rPr>
        <w:t>„</w:t>
      </w:r>
      <w:r w:rsidRPr="00AF31B2">
        <w:rPr>
          <w:rFonts w:ascii="Calibri" w:hAnsi="Calibri" w:cs="Calibri"/>
          <w:i/>
          <w:sz w:val="21"/>
          <w:szCs w:val="21"/>
        </w:rPr>
        <w:t>Podmienka zákonnej úpravy medzí základných práv a slobôd tak slúži zabezpečeniu základného práva</w:t>
      </w:r>
      <w:r w:rsidR="00AF31B2">
        <w:rPr>
          <w:rFonts w:ascii="Calibri" w:hAnsi="Calibri" w:cs="Calibri"/>
          <w:sz w:val="21"/>
          <w:szCs w:val="21"/>
        </w:rPr>
        <w:t xml:space="preserve"> (pozn.</w:t>
      </w:r>
      <w:r w:rsidRPr="00AF31B2">
        <w:rPr>
          <w:rFonts w:ascii="Calibri" w:hAnsi="Calibri" w:cs="Calibri"/>
          <w:sz w:val="21"/>
          <w:szCs w:val="21"/>
        </w:rPr>
        <w:t xml:space="preserve"> </w:t>
      </w:r>
      <w:r w:rsidRPr="00AF31B2">
        <w:rPr>
          <w:rFonts w:ascii="Calibri" w:hAnsi="Calibri" w:cs="Calibri"/>
          <w:b/>
          <w:sz w:val="21"/>
          <w:szCs w:val="21"/>
          <w:u w:val="single"/>
        </w:rPr>
        <w:t>nie povinnosti</w:t>
      </w:r>
      <w:r w:rsidRPr="00AF31B2">
        <w:rPr>
          <w:rFonts w:ascii="Calibri" w:hAnsi="Calibri" w:cs="Calibri"/>
          <w:sz w:val="21"/>
          <w:szCs w:val="21"/>
        </w:rPr>
        <w:t xml:space="preserve">) </w:t>
      </w:r>
      <w:r w:rsidRPr="00AF31B2">
        <w:rPr>
          <w:rFonts w:ascii="Calibri" w:hAnsi="Calibri" w:cs="Calibri"/>
          <w:b/>
          <w:i/>
          <w:sz w:val="21"/>
          <w:szCs w:val="21"/>
        </w:rPr>
        <w:t xml:space="preserve">podľa čl. 40 ústavy hneď dvoma spôsobmi: jednak zveruje úpravu jeho medzí do výlučnej pôsobnosti národnej rady a jednak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takúto úpravu následne chráni pred jej prípadným „obmedzením“ podzákonným predpisom</w:t>
      </w:r>
      <w:r w:rsidRPr="00AF31B2">
        <w:rPr>
          <w:rFonts w:ascii="Calibri" w:hAnsi="Calibri" w:cs="Calibri"/>
          <w:b/>
          <w:i/>
          <w:sz w:val="21"/>
          <w:szCs w:val="21"/>
        </w:rPr>
        <w:t>.</w:t>
      </w:r>
      <w:r w:rsidRPr="00AF31B2">
        <w:rPr>
          <w:rFonts w:ascii="Calibri" w:hAnsi="Calibri" w:cs="Calibri"/>
          <w:i/>
          <w:sz w:val="21"/>
          <w:szCs w:val="21"/>
        </w:rPr>
        <w:t xml:space="preserve"> </w:t>
      </w:r>
      <w:r w:rsidRPr="00AF31B2">
        <w:rPr>
          <w:rFonts w:ascii="Calibri" w:hAnsi="Calibri" w:cs="Calibri"/>
          <w:b/>
          <w:i/>
          <w:sz w:val="21"/>
          <w:szCs w:val="21"/>
        </w:rPr>
        <w:t>Podzákonný normotvorca je následne týmto zákonným štandardom viazaný</w:t>
      </w:r>
      <w:r w:rsidRPr="00AF31B2">
        <w:rPr>
          <w:rFonts w:ascii="Calibri" w:hAnsi="Calibri" w:cs="Calibri"/>
          <w:i/>
          <w:sz w:val="21"/>
          <w:szCs w:val="21"/>
        </w:rPr>
        <w:t xml:space="preserve"> v tom zmysle, že </w:t>
      </w:r>
      <w:r w:rsidRPr="00AF31B2">
        <w:rPr>
          <w:rFonts w:ascii="Calibri" w:hAnsi="Calibri" w:cs="Calibri"/>
          <w:b/>
          <w:i/>
          <w:sz w:val="21"/>
          <w:szCs w:val="21"/>
        </w:rPr>
        <w:t xml:space="preserve">obsahom ním vydaného právneho predpisu nesmie byť úprava, ktorou by sa daný štandard oslabil alebo,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a minori ad maius</w:t>
      </w:r>
      <w:r w:rsidRPr="00AF31B2">
        <w:rPr>
          <w:rFonts w:ascii="Calibri" w:hAnsi="Calibri" w:cs="Calibri"/>
          <w:b/>
          <w:i/>
          <w:sz w:val="21"/>
          <w:szCs w:val="21"/>
        </w:rPr>
        <w:t>, úplne znehodnotil</w:t>
      </w:r>
      <w:r w:rsidRPr="00AF31B2">
        <w:rPr>
          <w:rFonts w:ascii="Calibri" w:hAnsi="Calibri" w:cs="Calibri"/>
          <w:i/>
          <w:sz w:val="21"/>
          <w:szCs w:val="21"/>
        </w:rPr>
        <w:t xml:space="preserve">. V súhrne,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ústavná podmienka vyjadrená v čl. 13 ods. 2 ústavy slovom „zákonom“ a v čl. 40 ústavy slovami „ustanoví zákon“ slúži na to, aby zákonná úroveň ochrany dotknutého základného práva nebola a nemohla byť nijako znížená podzákonným právnym predpisom</w:t>
      </w:r>
      <w:r w:rsidRPr="00AF31B2">
        <w:rPr>
          <w:rFonts w:ascii="Calibri" w:hAnsi="Calibri" w:cs="Calibri"/>
          <w:sz w:val="21"/>
          <w:szCs w:val="21"/>
        </w:rPr>
        <w:t>.“.</w:t>
      </w:r>
    </w:p>
    <w:p w:rsidR="005872AE" w:rsidRPr="00AF31B2" w:rsidRDefault="005872AE" w:rsidP="005872AE">
      <w:pPr>
        <w:pStyle w:val="Odsekzoznamu"/>
        <w:numPr>
          <w:ilvl w:val="0"/>
          <w:numId w:val="0"/>
        </w:numPr>
        <w:ind w:left="360"/>
        <w:rPr>
          <w:sz w:val="21"/>
          <w:szCs w:val="21"/>
        </w:rPr>
      </w:pPr>
    </w:p>
    <w:p w:rsidR="005872AE" w:rsidRPr="00AF31B2" w:rsidRDefault="005872AE" w:rsidP="005872A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rFonts w:ascii="Calibri" w:hAnsi="Calibri" w:cs="Calibri"/>
          <w:sz w:val="21"/>
          <w:szCs w:val="21"/>
        </w:rPr>
        <w:t>Nález Ústavného súdu SR, sp. zn. PL. ÚS 10/2013 z 10. decembra 2014:</w:t>
      </w:r>
      <w:r w:rsidRPr="00AF31B2">
        <w:rPr>
          <w:rFonts w:ascii="Calibri" w:hAnsi="Calibri" w:cs="Calibri"/>
          <w:i/>
          <w:sz w:val="21"/>
          <w:szCs w:val="21"/>
        </w:rPr>
        <w:t xml:space="preserve"> „Článok 40 ústavy upravuje primárne pozitívny záväzok štátu prijať takú právnu úpravu na úrovni zákona, ktorá zabezpečí ochranu zdravia obyvateľstva.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To však neznamená, že sa určitá právna úprava nemôže dostať do kontradikcie s čl. 40 ústavy</w:t>
      </w:r>
      <w:r w:rsidRPr="00AF31B2">
        <w:rPr>
          <w:rFonts w:ascii="Calibri" w:hAnsi="Calibri" w:cs="Calibri"/>
          <w:i/>
          <w:sz w:val="21"/>
          <w:szCs w:val="21"/>
        </w:rPr>
        <w:t xml:space="preserve">, ktorý  v rámci samotného jadra (podstaty) práva na ochranu zdravia vyžaduje, aby právna úprava, ktorej účel je ochrana zdravia,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neviedla v konečnom dôsledku k jasnému poškodzovaniu zdravia</w:t>
      </w:r>
      <w:r w:rsidRPr="00AF31B2">
        <w:rPr>
          <w:rFonts w:ascii="Calibri" w:hAnsi="Calibri" w:cs="Calibri"/>
          <w:i/>
          <w:sz w:val="21"/>
          <w:szCs w:val="21"/>
        </w:rPr>
        <w:t xml:space="preserve">, resp. </w:t>
      </w:r>
      <w:r w:rsidRPr="00AF31B2">
        <w:rPr>
          <w:rFonts w:ascii="Calibri" w:hAnsi="Calibri" w:cs="Calibri"/>
          <w:b/>
          <w:i/>
          <w:sz w:val="21"/>
          <w:szCs w:val="21"/>
        </w:rPr>
        <w:t xml:space="preserve">k takému nepriaznivému zdravotnému následku,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ktorý by neprešiel</w:t>
      </w:r>
      <w:r w:rsidRPr="00AF31B2">
        <w:rPr>
          <w:rFonts w:ascii="Calibri" w:hAnsi="Calibri" w:cs="Calibri"/>
          <w:b/>
          <w:i/>
          <w:sz w:val="21"/>
          <w:szCs w:val="21"/>
        </w:rPr>
        <w:t xml:space="preserve"> (resp. takáto právna úprava)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testom proporcionality</w:t>
      </w:r>
      <w:r w:rsidRPr="00AF31B2">
        <w:rPr>
          <w:rFonts w:ascii="Calibri" w:hAnsi="Calibri" w:cs="Calibri"/>
          <w:i/>
          <w:sz w:val="21"/>
          <w:szCs w:val="21"/>
        </w:rPr>
        <w:t xml:space="preserve">. Inak povedané, </w:t>
      </w:r>
      <w:r w:rsidR="00AF31B2" w:rsidRPr="00AF31B2">
        <w:rPr>
          <w:rFonts w:ascii="Calibri" w:hAnsi="Calibri" w:cs="Calibri"/>
          <w:b/>
          <w:i/>
          <w:sz w:val="21"/>
          <w:szCs w:val="21"/>
          <w:u w:val="single"/>
        </w:rPr>
        <w:t>ABY SA V KABÁTE OCHRANY ZDRAVIA, KTORÚ ŠTÁT ZABEZPEČUJE, NESKRÝVAL JEDNOZNAČNÝ NÁSLEDOK ZDRAVIE PORUŠUJÚCI</w:t>
      </w:r>
      <w:r w:rsidRPr="00AF31B2">
        <w:rPr>
          <w:rFonts w:ascii="Calibri" w:hAnsi="Calibri" w:cs="Calibri"/>
          <w:i/>
          <w:sz w:val="21"/>
          <w:szCs w:val="21"/>
        </w:rPr>
        <w:t>.“.</w:t>
      </w:r>
    </w:p>
    <w:p w:rsidR="00C03105" w:rsidRPr="00AF31B2" w:rsidRDefault="00C03105" w:rsidP="00C03105">
      <w:pPr>
        <w:pStyle w:val="Odsekzoznamu"/>
        <w:numPr>
          <w:ilvl w:val="0"/>
          <w:numId w:val="0"/>
        </w:numPr>
        <w:ind w:left="360"/>
        <w:rPr>
          <w:sz w:val="21"/>
          <w:szCs w:val="21"/>
        </w:rPr>
      </w:pPr>
    </w:p>
    <w:p w:rsidR="00C03105" w:rsidRPr="00AF31B2" w:rsidRDefault="00C03105" w:rsidP="005872A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rFonts w:ascii="Calibri" w:hAnsi="Calibri" w:cs="Calibri"/>
          <w:sz w:val="21"/>
          <w:szCs w:val="21"/>
        </w:rPr>
        <w:t>Zákonný zástupca vo veci „údajného nerešpektovania protipandemických opatrení“ dáva do pozornosti aj n</w:t>
      </w:r>
      <w:r w:rsidRPr="00AF31B2">
        <w:rPr>
          <w:rFonts w:ascii="Calibri" w:hAnsi="Calibri" w:cs="Calibri"/>
          <w:bCs/>
          <w:sz w:val="21"/>
          <w:szCs w:val="21"/>
        </w:rPr>
        <w:t>ález Ústavného súdu Slovenskej republiky, sp. zn. PL. ÚS 8/94, zo dňa 6. októbra 1994,</w:t>
      </w:r>
      <w:r w:rsidRPr="00AF31B2">
        <w:rPr>
          <w:rFonts w:ascii="Calibri" w:hAnsi="Calibri" w:cs="Calibri"/>
          <w:sz w:val="21"/>
          <w:szCs w:val="21"/>
        </w:rPr>
        <w:t xml:space="preserve"> v ktorom je okrem iného uvedené: </w:t>
      </w:r>
      <w:r w:rsidRPr="00AF31B2">
        <w:rPr>
          <w:rFonts w:ascii="Calibri" w:hAnsi="Calibri" w:cs="Calibri"/>
          <w:i/>
          <w:iCs/>
          <w:sz w:val="21"/>
          <w:szCs w:val="21"/>
        </w:rPr>
        <w:t>„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</w:rPr>
        <w:t xml:space="preserve">Zákon 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nemôže splnomocniť orgán výkonnej moci na vydanie predpisu nižšej právnej sily, ktorý by určoval medze základných práv a slobôd</w:t>
      </w:r>
      <w:r w:rsidRPr="00AF31B2">
        <w:rPr>
          <w:rFonts w:ascii="Calibri" w:hAnsi="Calibri" w:cs="Calibri"/>
          <w:i/>
          <w:iCs/>
          <w:sz w:val="21"/>
          <w:szCs w:val="21"/>
        </w:rPr>
        <w:t xml:space="preserve">. 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 xml:space="preserve">Ústava zveruje právo určiť </w:t>
      </w:r>
      <w:r w:rsid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medze základných práv a slobôd (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z dôvodu zachovania povahy ústavnosti týchto práv a</w:t>
      </w:r>
      <w:r w:rsid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 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slobôd</w:t>
      </w:r>
      <w:r w:rsid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)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 xml:space="preserve"> len zákonodarnému zboru</w:t>
      </w:r>
      <w:r w:rsidRPr="00AF31B2">
        <w:rPr>
          <w:rFonts w:ascii="Calibri" w:hAnsi="Calibri" w:cs="Calibri"/>
          <w:i/>
          <w:iCs/>
          <w:sz w:val="21"/>
          <w:szCs w:val="21"/>
        </w:rPr>
        <w:t xml:space="preserve">. Ústavný súd konštatuje, že 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</w:rPr>
        <w:t xml:space="preserve">splnomocnenie v zákone na vydanie všeobecne záväzného právneho predpisu, ktorým by boli upravené ďalšie podmienky dotýkajúce sa medzí ústavou zaručených práv, </w:t>
      </w:r>
      <w:r w:rsidR="00AF31B2" w:rsidRP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NIE JE ÚSTAVOU DOVOLENÉ</w:t>
      </w:r>
      <w:r w:rsidRPr="00AF31B2">
        <w:rPr>
          <w:rFonts w:ascii="Calibri" w:hAnsi="Calibri" w:cs="Calibri"/>
          <w:i/>
          <w:iCs/>
          <w:sz w:val="21"/>
          <w:szCs w:val="21"/>
        </w:rPr>
        <w:t xml:space="preserve">. Preto </w:t>
      </w:r>
      <w:r w:rsidRPr="00AF31B2">
        <w:rPr>
          <w:rFonts w:ascii="Calibri" w:hAnsi="Calibri" w:cs="Calibri"/>
          <w:b/>
          <w:bCs/>
          <w:i/>
          <w:iCs/>
          <w:sz w:val="21"/>
          <w:szCs w:val="21"/>
          <w:u w:val="single"/>
        </w:rPr>
        <w:t>všeobecne záväzný právny predpis vydaný na základe takéhoto splnomocňovacieho ustanovenia zákona by nebol vydaný v súlade s ústavou</w:t>
      </w:r>
      <w:r w:rsidRPr="00AF31B2">
        <w:rPr>
          <w:rFonts w:ascii="Calibri" w:hAnsi="Calibri" w:cs="Calibri"/>
          <w:i/>
          <w:iCs/>
          <w:sz w:val="21"/>
          <w:szCs w:val="21"/>
        </w:rPr>
        <w:t>.“</w:t>
      </w:r>
      <w:r w:rsidRPr="00AF31B2">
        <w:rPr>
          <w:rFonts w:ascii="Calibri" w:hAnsi="Calibri" w:cs="Calibri"/>
          <w:sz w:val="21"/>
          <w:szCs w:val="21"/>
        </w:rPr>
        <w:t>.</w:t>
      </w:r>
    </w:p>
    <w:p w:rsidR="001F613D" w:rsidRPr="00AF31B2" w:rsidRDefault="001F613D" w:rsidP="001F613D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4B3913" w:rsidRPr="00AF31B2" w:rsidRDefault="005B5B94" w:rsidP="00C03105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rFonts w:ascii="Calibri" w:hAnsi="Calibri" w:cs="Calibri"/>
          <w:b/>
          <w:sz w:val="21"/>
          <w:szCs w:val="21"/>
        </w:rPr>
        <w:t xml:space="preserve">Žiaden </w:t>
      </w:r>
      <w:r w:rsidRPr="00AF31B2">
        <w:rPr>
          <w:rFonts w:ascii="Calibri" w:hAnsi="Calibri" w:cs="Calibri"/>
          <w:b/>
          <w:sz w:val="21"/>
          <w:szCs w:val="21"/>
          <w:u w:val="single"/>
        </w:rPr>
        <w:t>zákon</w:t>
      </w:r>
      <w:r w:rsidRPr="00AF31B2">
        <w:rPr>
          <w:rFonts w:ascii="Calibri" w:hAnsi="Calibri" w:cs="Calibri"/>
          <w:b/>
          <w:sz w:val="21"/>
          <w:szCs w:val="21"/>
        </w:rPr>
        <w:t xml:space="preserve"> v Slovenskej republike neukladá povinnosť prekrývať si dýchacie cesty</w:t>
      </w:r>
      <w:r w:rsidR="00B86B48" w:rsidRPr="00AF31B2">
        <w:rPr>
          <w:rFonts w:ascii="Calibri" w:hAnsi="Calibri" w:cs="Calibri"/>
          <w:b/>
          <w:sz w:val="21"/>
          <w:szCs w:val="21"/>
        </w:rPr>
        <w:t>, preukazovať sa negatívnym testom na COVID-19, ani očkovať sa proti COVID-19</w:t>
      </w:r>
      <w:r w:rsidR="00AF31B2">
        <w:rPr>
          <w:rFonts w:ascii="Calibri" w:hAnsi="Calibri" w:cs="Calibri"/>
          <w:b/>
          <w:sz w:val="21"/>
          <w:szCs w:val="21"/>
        </w:rPr>
        <w:t xml:space="preserve">, </w:t>
      </w:r>
      <w:r w:rsidR="00AF31B2" w:rsidRPr="00AF31B2">
        <w:rPr>
          <w:rFonts w:ascii="Calibri" w:hAnsi="Calibri" w:cs="Calibri"/>
          <w:b/>
          <w:sz w:val="21"/>
          <w:szCs w:val="21"/>
        </w:rPr>
        <w:t>preukazovať sa</w:t>
      </w:r>
      <w:r w:rsidR="00AF31B2" w:rsidRPr="00AF31B2">
        <w:rPr>
          <w:b/>
          <w:sz w:val="21"/>
          <w:szCs w:val="21"/>
        </w:rPr>
        <w:t xml:space="preserve"> </w:t>
      </w:r>
      <w:r w:rsidR="00AF31B2" w:rsidRPr="00AF31B2">
        <w:rPr>
          <w:b/>
          <w:sz w:val="21"/>
          <w:szCs w:val="21"/>
        </w:rPr>
        <w:t>písomným vyhlásením o bezpríznakovosti</w:t>
      </w:r>
      <w:r w:rsidRPr="00AF31B2">
        <w:rPr>
          <w:rFonts w:ascii="Calibri" w:hAnsi="Calibri" w:cs="Calibri"/>
          <w:b/>
          <w:sz w:val="21"/>
          <w:szCs w:val="21"/>
        </w:rPr>
        <w:t xml:space="preserve">. </w:t>
      </w:r>
      <w:r w:rsidRPr="00AF31B2">
        <w:rPr>
          <w:rFonts w:ascii="Calibri" w:hAnsi="Calibri" w:cs="Calibri"/>
          <w:sz w:val="21"/>
          <w:szCs w:val="21"/>
        </w:rPr>
        <w:t xml:space="preserve">Analogicky je možné v uvedenom kontexte </w:t>
      </w:r>
      <w:r w:rsidR="00B86B48" w:rsidRPr="00AF31B2">
        <w:rPr>
          <w:rFonts w:ascii="Calibri" w:hAnsi="Calibri" w:cs="Calibri"/>
          <w:sz w:val="21"/>
          <w:szCs w:val="21"/>
        </w:rPr>
        <w:t xml:space="preserve">poukázať </w:t>
      </w:r>
      <w:r w:rsidRPr="00AF31B2">
        <w:rPr>
          <w:rFonts w:ascii="Calibri" w:hAnsi="Calibri" w:cs="Calibri"/>
          <w:sz w:val="21"/>
          <w:szCs w:val="21"/>
        </w:rPr>
        <w:t>na nález Ústavného súdu Slovenskej republiky, sp. zn. PL. ÚS 10/2013</w:t>
      </w:r>
      <w:r w:rsidR="00AF31B2" w:rsidRPr="00AF31B2">
        <w:rPr>
          <w:rFonts w:ascii="Calibri" w:hAnsi="Calibri" w:cs="Calibri"/>
          <w:sz w:val="21"/>
          <w:szCs w:val="21"/>
        </w:rPr>
        <w:t xml:space="preserve"> </w:t>
      </w:r>
      <w:r w:rsidR="00AF31B2" w:rsidRPr="00AF31B2">
        <w:rPr>
          <w:rFonts w:ascii="Calibri" w:hAnsi="Calibri" w:cs="Calibri"/>
          <w:sz w:val="21"/>
          <w:szCs w:val="21"/>
        </w:rPr>
        <w:t>z 10. decembra 2014</w:t>
      </w:r>
      <w:r w:rsidRPr="00AF31B2">
        <w:rPr>
          <w:rFonts w:ascii="Calibri" w:hAnsi="Calibri" w:cs="Calibri"/>
          <w:sz w:val="21"/>
          <w:szCs w:val="21"/>
        </w:rPr>
        <w:t>:</w:t>
      </w:r>
      <w:r w:rsidRPr="00AF31B2">
        <w:rPr>
          <w:rFonts w:ascii="Calibri" w:hAnsi="Calibri" w:cs="Calibri"/>
          <w:b/>
          <w:sz w:val="21"/>
          <w:szCs w:val="21"/>
        </w:rPr>
        <w:t xml:space="preserve"> </w:t>
      </w:r>
      <w:r w:rsidRPr="00AF31B2">
        <w:rPr>
          <w:rFonts w:ascii="Calibri" w:hAnsi="Calibri" w:cs="Calibri"/>
          <w:b/>
          <w:i/>
          <w:sz w:val="21"/>
          <w:szCs w:val="21"/>
        </w:rPr>
        <w:t xml:space="preserve">„Samotná povinnosť fyzických osôb podrobiť na povinnému očkovaniu nie je ustanovená podzákonným predpisom, ale dostatočne konkrétne a určito použitím termínu „povinné očkovanie“ zákonom o ochrane, podpore a rozvoji verejného zdravia. Tým spĺňa jednak požiadavku na ukladanie povinností ustanovenú v čl. 13 ods. 1 písm. a) ústavy, ale zároveň tiež požiadavku 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formy zákona</w:t>
      </w:r>
      <w:r w:rsidRPr="00AF31B2">
        <w:rPr>
          <w:rFonts w:ascii="Calibri" w:hAnsi="Calibri" w:cs="Calibri"/>
          <w:b/>
          <w:i/>
          <w:sz w:val="21"/>
          <w:szCs w:val="21"/>
        </w:rPr>
        <w:t xml:space="preserve"> na stanovenie medzí základných práv a slobôd ustanovenú v čl. 13 ods. 2 ústavy.“</w:t>
      </w:r>
      <w:r w:rsidRPr="00AF31B2">
        <w:rPr>
          <w:rFonts w:ascii="Calibri" w:hAnsi="Calibri" w:cs="Calibri"/>
          <w:b/>
          <w:sz w:val="21"/>
          <w:szCs w:val="21"/>
        </w:rPr>
        <w:t xml:space="preserve">, </w:t>
      </w:r>
      <w:r w:rsidRPr="00AF31B2">
        <w:rPr>
          <w:rFonts w:ascii="Calibri" w:hAnsi="Calibri" w:cs="Calibri"/>
          <w:b/>
          <w:sz w:val="21"/>
          <w:szCs w:val="21"/>
          <w:u w:val="single"/>
        </w:rPr>
        <w:t>kým formulácia v ustanovení § 48 ods. 4 v Zákone o verejnom zdraví „</w:t>
      </w:r>
      <w:r w:rsidRPr="00AF31B2">
        <w:rPr>
          <w:rFonts w:ascii="Calibri" w:hAnsi="Calibri" w:cs="Calibri"/>
          <w:b/>
          <w:i/>
          <w:sz w:val="21"/>
          <w:szCs w:val="21"/>
          <w:u w:val="single"/>
        </w:rPr>
        <w:t>používanie preventívnych a iných ochranných pomôcok</w:t>
      </w:r>
      <w:r w:rsidRPr="00AF31B2">
        <w:rPr>
          <w:rFonts w:ascii="Calibri" w:hAnsi="Calibri" w:cs="Calibri"/>
          <w:b/>
          <w:sz w:val="21"/>
          <w:szCs w:val="21"/>
          <w:u w:val="single"/>
        </w:rPr>
        <w:t>“ nie je ani dostatočne konkrétna a ani dostatočne určitá</w:t>
      </w:r>
      <w:r w:rsidRPr="00AF31B2">
        <w:rPr>
          <w:rFonts w:ascii="Calibri" w:hAnsi="Calibri" w:cs="Calibri"/>
          <w:b/>
          <w:sz w:val="21"/>
          <w:szCs w:val="21"/>
        </w:rPr>
        <w:t>.</w:t>
      </w:r>
    </w:p>
    <w:p w:rsidR="005872AE" w:rsidRPr="00AF31B2" w:rsidRDefault="005872AE" w:rsidP="005872AE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117A6E" w:rsidRPr="00AF31B2" w:rsidRDefault="005872AE" w:rsidP="00117A6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>Záverom tejto výzvy d</w:t>
      </w:r>
      <w:r w:rsidR="00B63816" w:rsidRPr="00AF31B2">
        <w:rPr>
          <w:sz w:val="21"/>
          <w:szCs w:val="21"/>
        </w:rPr>
        <w:t xml:space="preserve">ávam do pozornosti z dokumentu Súhrn stanovísk a správ Benátskej komisie k núdzovému stavu jej </w:t>
      </w:r>
      <w:r w:rsidR="00B63816" w:rsidRPr="00AF31B2">
        <w:rPr>
          <w:b/>
          <w:sz w:val="21"/>
          <w:szCs w:val="21"/>
          <w:u w:val="single"/>
        </w:rPr>
        <w:t>Stanovisko k ochrane ľudských práv v núdzových situáciách</w:t>
      </w:r>
      <w:r w:rsidR="00B63816" w:rsidRPr="00AF31B2">
        <w:rPr>
          <w:sz w:val="21"/>
          <w:szCs w:val="21"/>
        </w:rPr>
        <w:t>. CDL-AD(2006)015 (s. 14): „</w:t>
      </w:r>
      <w:r w:rsidR="00B63816" w:rsidRPr="00AF31B2">
        <w:rPr>
          <w:i/>
          <w:sz w:val="21"/>
          <w:szCs w:val="21"/>
        </w:rPr>
        <w:t xml:space="preserve">51. </w:t>
      </w:r>
      <w:r w:rsidR="00B63816" w:rsidRPr="00AF31B2">
        <w:rPr>
          <w:b/>
          <w:i/>
          <w:sz w:val="21"/>
          <w:szCs w:val="21"/>
        </w:rPr>
        <w:t xml:space="preserve">(...) Skúsenosti ukazujú, že </w:t>
      </w:r>
      <w:r w:rsidR="00B63816" w:rsidRPr="00AF31B2">
        <w:rPr>
          <w:b/>
          <w:i/>
          <w:sz w:val="21"/>
          <w:szCs w:val="21"/>
          <w:u w:val="single"/>
        </w:rPr>
        <w:t xml:space="preserve">k najvážnejším porušeniam ľudských práv dochádza v kontexte núdzového </w:t>
      </w:r>
      <w:r w:rsidR="00B63816" w:rsidRPr="00AF31B2">
        <w:rPr>
          <w:b/>
          <w:i/>
          <w:sz w:val="21"/>
          <w:szCs w:val="21"/>
          <w:u w:val="single"/>
        </w:rPr>
        <w:lastRenderedPageBreak/>
        <w:t>stavu</w:t>
      </w:r>
      <w:r w:rsidR="00B63816" w:rsidRPr="00AF31B2">
        <w:rPr>
          <w:i/>
          <w:sz w:val="21"/>
          <w:szCs w:val="21"/>
        </w:rPr>
        <w:t xml:space="preserve">. Parlamentné zhromaždenie vyhlásilo, že potreba bezpečnosti často vedie vlády k prijatiu mimoriadnych opatrení. Musia byť ale skutočne mimoriadne, pretože </w:t>
      </w:r>
      <w:r w:rsidR="00B63816" w:rsidRPr="00AF31B2">
        <w:rPr>
          <w:b/>
          <w:i/>
          <w:sz w:val="21"/>
          <w:szCs w:val="21"/>
          <w:u w:val="single"/>
        </w:rPr>
        <w:t>žiadny štát nemá právo nerešpektovať zásadu právneho štátu, a to ani v extrémnych situáciách</w:t>
      </w:r>
      <w:r w:rsidR="00B63816" w:rsidRPr="00AF31B2">
        <w:rPr>
          <w:i/>
          <w:sz w:val="21"/>
          <w:szCs w:val="21"/>
        </w:rPr>
        <w:t>. Vo všetkých prípadoch musia existovať zákonné záruky, ktoré bránia zneužitiu mimoriadnych opatrení.“</w:t>
      </w:r>
      <w:r w:rsidR="00C03105" w:rsidRPr="00AF31B2">
        <w:rPr>
          <w:i/>
          <w:sz w:val="21"/>
          <w:szCs w:val="21"/>
        </w:rPr>
        <w:t>.</w:t>
      </w:r>
    </w:p>
    <w:p w:rsidR="00117A6E" w:rsidRPr="00AF31B2" w:rsidRDefault="00117A6E" w:rsidP="00117A6E">
      <w:pPr>
        <w:pStyle w:val="Odsekzoznamu"/>
        <w:numPr>
          <w:ilvl w:val="0"/>
          <w:numId w:val="0"/>
        </w:numPr>
        <w:ind w:left="360"/>
        <w:rPr>
          <w:b/>
          <w:sz w:val="21"/>
          <w:szCs w:val="21"/>
        </w:rPr>
      </w:pPr>
    </w:p>
    <w:p w:rsidR="00C03105" w:rsidRDefault="00B63816" w:rsidP="00117A6E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b/>
          <w:sz w:val="21"/>
          <w:szCs w:val="21"/>
        </w:rPr>
        <w:t>Právo na vzdelanie</w:t>
      </w:r>
      <w:r w:rsidRPr="00AF31B2">
        <w:rPr>
          <w:sz w:val="21"/>
          <w:szCs w:val="21"/>
        </w:rPr>
        <w:t xml:space="preserve"> </w:t>
      </w:r>
      <w:r w:rsidRPr="00AF31B2">
        <w:rPr>
          <w:b/>
          <w:sz w:val="21"/>
          <w:szCs w:val="21"/>
          <w:u w:val="single"/>
        </w:rPr>
        <w:t>nie je možné podmieňovať požiadavkou na prekrytie si dýchacích ciest, absolvovaním testovania a preukazovaním sa negatívnym testom na COVID-19, očkovaním proti COVID-19, ani žiadnou ďalšou neexistujúcou právnou povinnosťou</w:t>
      </w:r>
      <w:r w:rsidRPr="00AF31B2">
        <w:rPr>
          <w:sz w:val="21"/>
          <w:szCs w:val="21"/>
        </w:rPr>
        <w:t xml:space="preserve">. </w:t>
      </w:r>
      <w:r w:rsidR="00117A6E" w:rsidRPr="00AF31B2">
        <w:rPr>
          <w:sz w:val="21"/>
          <w:szCs w:val="21"/>
        </w:rPr>
        <w:t>Zákonný zástupca touto výzvou vyjadruje svoj nesúhlas s podmieňovaním účasti dieťaťa na prezenčnom vyučovaní v škole, ev. školskom zariadení, a to neexistujúcimi právnymi povinnosťami.</w:t>
      </w:r>
    </w:p>
    <w:p w:rsidR="00AF31B2" w:rsidRPr="00AF31B2" w:rsidRDefault="00AF31B2" w:rsidP="00AF31B2">
      <w:pPr>
        <w:pStyle w:val="Odsekzoznamu"/>
        <w:numPr>
          <w:ilvl w:val="0"/>
          <w:numId w:val="0"/>
        </w:numPr>
        <w:ind w:left="360"/>
        <w:rPr>
          <w:sz w:val="21"/>
          <w:szCs w:val="21"/>
        </w:rPr>
      </w:pPr>
    </w:p>
    <w:p w:rsidR="00AF31B2" w:rsidRPr="00AF31B2" w:rsidRDefault="00AF31B2" w:rsidP="00AF31B2">
      <w:pPr>
        <w:pStyle w:val="Odsekzoznamu"/>
        <w:spacing w:line="276" w:lineRule="auto"/>
        <w:rPr>
          <w:sz w:val="21"/>
          <w:szCs w:val="21"/>
        </w:rPr>
      </w:pPr>
      <w:r w:rsidRPr="00AF31B2">
        <w:rPr>
          <w:sz w:val="21"/>
          <w:szCs w:val="21"/>
        </w:rPr>
        <w:t xml:space="preserve">Oznamujem Vám, že </w:t>
      </w:r>
      <w:r w:rsidRPr="00AF31B2">
        <w:rPr>
          <w:b/>
          <w:sz w:val="21"/>
          <w:szCs w:val="21"/>
        </w:rPr>
        <w:t>nesúhlasím s poskytovaním osobných údajov  dieťaťa, ani mojich osobných údajov za účelom vymedzeným v tejto výzve</w:t>
      </w:r>
      <w:r w:rsidRPr="00AF31B2">
        <w:rPr>
          <w:sz w:val="21"/>
          <w:szCs w:val="21"/>
        </w:rPr>
        <w:t xml:space="preserve">. V prípade, </w:t>
      </w:r>
      <w:r w:rsidRPr="00AF31B2">
        <w:rPr>
          <w:b/>
          <w:sz w:val="21"/>
          <w:szCs w:val="21"/>
        </w:rPr>
        <w:t>ak bol v minulosti taký súhlas škole zákonným zástupcom daný, tento súhlas beriem späť</w:t>
      </w:r>
      <w:r w:rsidRPr="00AF31B2">
        <w:rPr>
          <w:sz w:val="21"/>
          <w:szCs w:val="21"/>
        </w:rPr>
        <w:t xml:space="preserve">. V kontexte tu uvedeného Vám dávam do pozornosti Nariadenie Európskeho parlamentu a Rady (EÚ) 2016/679 z 27. apríla 2016 o ochrane fyzických osôb pri spracúvaní osobných údajov a o voľnom pohybe takýchto údajov, ktorým sa zrušuje smernica 95/46/ES (všeobecné nariadenie o ochrane údajov). Článok 288 ods. 2 Zmluvy o fungovaní EÚ ustanovuje, že: </w:t>
      </w:r>
      <w:r w:rsidRPr="00AF31B2">
        <w:rPr>
          <w:i/>
          <w:sz w:val="21"/>
          <w:szCs w:val="21"/>
        </w:rPr>
        <w:t>„Nariadenie má všeobecnú platnosť (pozn. záväznosť). Je záväzné vo svojej celistvosti a </w:t>
      </w:r>
      <w:r w:rsidRPr="00AF31B2">
        <w:rPr>
          <w:i/>
          <w:sz w:val="21"/>
          <w:szCs w:val="21"/>
          <w:u w:val="single"/>
        </w:rPr>
        <w:t>je priamo uplatniteľné</w:t>
      </w:r>
      <w:r w:rsidRPr="00AF31B2">
        <w:rPr>
          <w:i/>
          <w:sz w:val="21"/>
          <w:szCs w:val="21"/>
        </w:rPr>
        <w:t xml:space="preserve"> (pozn. aplikovateľné) vo všetkých členských štátoch.“</w:t>
      </w:r>
      <w:r w:rsidRPr="00AF31B2">
        <w:rPr>
          <w:sz w:val="21"/>
          <w:szCs w:val="21"/>
        </w:rPr>
        <w:t xml:space="preserve">. </w:t>
      </w:r>
    </w:p>
    <w:p w:rsidR="00C03105" w:rsidRPr="00AF31B2" w:rsidRDefault="00C03105" w:rsidP="00C03105">
      <w:pPr>
        <w:pStyle w:val="Odsekzoznamu"/>
        <w:numPr>
          <w:ilvl w:val="0"/>
          <w:numId w:val="0"/>
        </w:numPr>
        <w:spacing w:line="276" w:lineRule="auto"/>
        <w:ind w:left="360"/>
        <w:rPr>
          <w:sz w:val="21"/>
          <w:szCs w:val="21"/>
        </w:rPr>
      </w:pPr>
    </w:p>
    <w:p w:rsidR="00B63816" w:rsidRPr="00AF31B2" w:rsidRDefault="00B63816" w:rsidP="00946E56">
      <w:pPr>
        <w:pStyle w:val="Odsekzoznamu"/>
        <w:numPr>
          <w:ilvl w:val="0"/>
          <w:numId w:val="0"/>
        </w:numPr>
        <w:spacing w:line="276" w:lineRule="auto"/>
        <w:ind w:left="284"/>
        <w:rPr>
          <w:sz w:val="21"/>
          <w:szCs w:val="21"/>
        </w:rPr>
      </w:pPr>
    </w:p>
    <w:p w:rsidR="00857AD9" w:rsidRPr="00AF31B2" w:rsidRDefault="00857AD9" w:rsidP="00946E56">
      <w:pPr>
        <w:pStyle w:val="Odsekzoznamu"/>
        <w:numPr>
          <w:ilvl w:val="0"/>
          <w:numId w:val="3"/>
        </w:numPr>
        <w:spacing w:line="276" w:lineRule="auto"/>
        <w:jc w:val="left"/>
        <w:rPr>
          <w:b/>
          <w:sz w:val="21"/>
          <w:szCs w:val="21"/>
        </w:rPr>
      </w:pPr>
      <w:r w:rsidRPr="00AF31B2">
        <w:rPr>
          <w:b/>
          <w:sz w:val="21"/>
          <w:szCs w:val="21"/>
        </w:rPr>
        <w:t>ZÁVEREČNÉ STANOVISKO ZÁKONNÉHO ZÁSTUPCU</w:t>
      </w:r>
    </w:p>
    <w:p w:rsidR="00326F9D" w:rsidRPr="00AF31B2" w:rsidRDefault="00326F9D" w:rsidP="00946E56">
      <w:pPr>
        <w:spacing w:line="276" w:lineRule="auto"/>
        <w:jc w:val="both"/>
        <w:rPr>
          <w:sz w:val="21"/>
          <w:szCs w:val="21"/>
        </w:rPr>
      </w:pPr>
    </w:p>
    <w:p w:rsidR="00C03105" w:rsidRPr="00AF31B2" w:rsidRDefault="00C03105" w:rsidP="00946E56">
      <w:pPr>
        <w:spacing w:line="276" w:lineRule="auto"/>
        <w:jc w:val="both"/>
        <w:rPr>
          <w:b/>
          <w:sz w:val="21"/>
          <w:szCs w:val="21"/>
        </w:rPr>
      </w:pPr>
      <w:r w:rsidRPr="00AF31B2">
        <w:rPr>
          <w:b/>
          <w:sz w:val="21"/>
          <w:szCs w:val="21"/>
        </w:rPr>
        <w:t>Žiadam, aby ste sa</w:t>
      </w:r>
      <w:r w:rsidR="00117A6E" w:rsidRPr="00AF31B2">
        <w:rPr>
          <w:b/>
          <w:sz w:val="21"/>
          <w:szCs w:val="21"/>
        </w:rPr>
        <w:t xml:space="preserve"> </w:t>
      </w:r>
      <w:r w:rsidR="00117A6E" w:rsidRPr="00AF31B2">
        <w:rPr>
          <w:b/>
          <w:sz w:val="21"/>
          <w:szCs w:val="21"/>
          <w:u w:val="single"/>
        </w:rPr>
        <w:t>bezodkladne</w:t>
      </w:r>
      <w:r w:rsidRPr="00AF31B2">
        <w:rPr>
          <w:b/>
          <w:sz w:val="21"/>
          <w:szCs w:val="21"/>
        </w:rPr>
        <w:t xml:space="preserve"> zdržali protiprávneho konania. N</w:t>
      </w:r>
      <w:r w:rsidR="00326F9D" w:rsidRPr="00AF31B2">
        <w:rPr>
          <w:b/>
          <w:sz w:val="21"/>
          <w:szCs w:val="21"/>
        </w:rPr>
        <w:t xml:space="preserve">erešpektovaním </w:t>
      </w:r>
      <w:r w:rsidRPr="00AF31B2">
        <w:rPr>
          <w:b/>
          <w:sz w:val="21"/>
          <w:szCs w:val="21"/>
        </w:rPr>
        <w:t xml:space="preserve">predkladanej </w:t>
      </w:r>
      <w:r w:rsidR="00B517CB" w:rsidRPr="00AF31B2">
        <w:rPr>
          <w:b/>
          <w:sz w:val="21"/>
          <w:szCs w:val="21"/>
        </w:rPr>
        <w:t>výzvy</w:t>
      </w:r>
      <w:r w:rsidR="00326F9D" w:rsidRPr="00AF31B2">
        <w:rPr>
          <w:b/>
          <w:sz w:val="21"/>
          <w:szCs w:val="21"/>
        </w:rPr>
        <w:t xml:space="preserve"> </w:t>
      </w:r>
      <w:r w:rsidRPr="00AF31B2">
        <w:rPr>
          <w:b/>
          <w:sz w:val="21"/>
          <w:szCs w:val="21"/>
        </w:rPr>
        <w:t xml:space="preserve">budem ako zákonný zástupca dieťaťa </w:t>
      </w:r>
      <w:r w:rsidRPr="00AF31B2">
        <w:rPr>
          <w:b/>
          <w:sz w:val="21"/>
          <w:szCs w:val="21"/>
          <w:highlight w:val="yellow"/>
        </w:rPr>
        <w:t>nútená/ý</w:t>
      </w:r>
      <w:r w:rsidRPr="00AF31B2">
        <w:rPr>
          <w:b/>
          <w:sz w:val="21"/>
          <w:szCs w:val="21"/>
        </w:rPr>
        <w:t xml:space="preserve"> podniknúť právne kroky za účelom zabezpečenia legálnej ochrany základných práv a slobôd dieťaťa pred eventuálnym protiprávnym konaním školy.</w:t>
      </w:r>
    </w:p>
    <w:p w:rsidR="00C03105" w:rsidRPr="00AF31B2" w:rsidRDefault="00C03105" w:rsidP="00946E56">
      <w:pPr>
        <w:spacing w:line="276" w:lineRule="auto"/>
        <w:jc w:val="both"/>
        <w:rPr>
          <w:b/>
          <w:sz w:val="21"/>
          <w:szCs w:val="21"/>
        </w:rPr>
      </w:pPr>
    </w:p>
    <w:p w:rsidR="00C03105" w:rsidRPr="00AF31B2" w:rsidRDefault="00C03105" w:rsidP="00946E56">
      <w:pPr>
        <w:spacing w:line="276" w:lineRule="auto"/>
        <w:jc w:val="both"/>
        <w:rPr>
          <w:b/>
          <w:sz w:val="21"/>
          <w:szCs w:val="21"/>
        </w:rPr>
      </w:pPr>
      <w:r w:rsidRPr="00AF31B2">
        <w:rPr>
          <w:b/>
          <w:sz w:val="21"/>
          <w:szCs w:val="21"/>
        </w:rPr>
        <w:t xml:space="preserve">Zároveň </w:t>
      </w:r>
      <w:r w:rsidR="00117A6E" w:rsidRPr="00AF31B2">
        <w:rPr>
          <w:b/>
          <w:sz w:val="21"/>
          <w:szCs w:val="21"/>
        </w:rPr>
        <w:t xml:space="preserve">vyjadrujem vieru, že rešpektovaním skutočností, ktoré sú obsiahnuté v tejto výzve, </w:t>
      </w:r>
      <w:r w:rsidR="00804025">
        <w:rPr>
          <w:b/>
          <w:sz w:val="21"/>
          <w:szCs w:val="21"/>
        </w:rPr>
        <w:t xml:space="preserve">môžeme predísť </w:t>
      </w:r>
      <w:r w:rsidR="00117A6E" w:rsidRPr="00AF31B2">
        <w:rPr>
          <w:b/>
          <w:sz w:val="21"/>
          <w:szCs w:val="21"/>
        </w:rPr>
        <w:t>eventuálnemu súdnemu sporu.</w:t>
      </w:r>
    </w:p>
    <w:p w:rsidR="00C03105" w:rsidRDefault="00C03105" w:rsidP="00946E56">
      <w:pPr>
        <w:spacing w:line="276" w:lineRule="auto"/>
        <w:jc w:val="both"/>
        <w:rPr>
          <w:sz w:val="21"/>
          <w:szCs w:val="21"/>
        </w:rPr>
      </w:pPr>
    </w:p>
    <w:p w:rsidR="00804025" w:rsidRPr="00AF31B2" w:rsidRDefault="00804025" w:rsidP="00946E56">
      <w:pPr>
        <w:spacing w:line="276" w:lineRule="auto"/>
        <w:jc w:val="both"/>
        <w:rPr>
          <w:sz w:val="21"/>
          <w:szCs w:val="21"/>
        </w:rPr>
      </w:pPr>
    </w:p>
    <w:p w:rsidR="005D5E86" w:rsidRPr="00AF31B2" w:rsidRDefault="00326F9D" w:rsidP="00946E56">
      <w:pPr>
        <w:spacing w:line="276" w:lineRule="auto"/>
        <w:jc w:val="both"/>
        <w:rPr>
          <w:sz w:val="21"/>
          <w:szCs w:val="21"/>
        </w:rPr>
      </w:pPr>
      <w:r w:rsidRPr="00AF31B2">
        <w:rPr>
          <w:sz w:val="21"/>
          <w:szCs w:val="21"/>
        </w:rPr>
        <w:t>S</w:t>
      </w:r>
      <w:r w:rsidR="005D5E86" w:rsidRPr="00AF31B2">
        <w:rPr>
          <w:sz w:val="21"/>
          <w:szCs w:val="21"/>
        </w:rPr>
        <w:t> </w:t>
      </w:r>
      <w:r w:rsidRPr="00AF31B2">
        <w:rPr>
          <w:sz w:val="21"/>
          <w:szCs w:val="21"/>
        </w:rPr>
        <w:t>pozdravom</w:t>
      </w:r>
    </w:p>
    <w:p w:rsidR="000A0AD0" w:rsidRDefault="000A0AD0" w:rsidP="00946E56">
      <w:pPr>
        <w:spacing w:line="276" w:lineRule="auto"/>
        <w:jc w:val="both"/>
        <w:rPr>
          <w:sz w:val="21"/>
          <w:szCs w:val="21"/>
        </w:rPr>
      </w:pPr>
    </w:p>
    <w:p w:rsidR="00804025" w:rsidRPr="00AF31B2" w:rsidRDefault="00804025" w:rsidP="00946E56">
      <w:pPr>
        <w:spacing w:line="276" w:lineRule="auto"/>
        <w:jc w:val="both"/>
        <w:rPr>
          <w:sz w:val="21"/>
          <w:szCs w:val="21"/>
        </w:rPr>
      </w:pPr>
      <w:bookmarkStart w:id="0" w:name="_GoBack"/>
      <w:bookmarkEnd w:id="0"/>
    </w:p>
    <w:p w:rsidR="00C03105" w:rsidRPr="00AF31B2" w:rsidRDefault="00C03105" w:rsidP="00946E56">
      <w:pPr>
        <w:spacing w:line="276" w:lineRule="auto"/>
        <w:jc w:val="both"/>
        <w:rPr>
          <w:sz w:val="21"/>
          <w:szCs w:val="21"/>
        </w:rPr>
      </w:pPr>
    </w:p>
    <w:p w:rsidR="00326F9D" w:rsidRPr="00AF31B2" w:rsidRDefault="00326F9D" w:rsidP="00946E56">
      <w:pPr>
        <w:spacing w:line="276" w:lineRule="auto"/>
        <w:ind w:left="5664" w:firstLine="708"/>
        <w:jc w:val="both"/>
        <w:rPr>
          <w:sz w:val="21"/>
          <w:szCs w:val="21"/>
        </w:rPr>
      </w:pPr>
      <w:r w:rsidRPr="00AF31B2">
        <w:rPr>
          <w:sz w:val="21"/>
          <w:szCs w:val="21"/>
        </w:rPr>
        <w:t>__________________________</w:t>
      </w:r>
    </w:p>
    <w:p w:rsidR="006506CC" w:rsidRPr="00AF31B2" w:rsidRDefault="00326F9D" w:rsidP="00946E56">
      <w:pPr>
        <w:spacing w:line="276" w:lineRule="auto"/>
        <w:ind w:left="5664" w:firstLine="708"/>
        <w:jc w:val="both"/>
        <w:rPr>
          <w:sz w:val="21"/>
          <w:szCs w:val="21"/>
        </w:rPr>
      </w:pPr>
      <w:r w:rsidRPr="00AF31B2">
        <w:rPr>
          <w:sz w:val="21"/>
          <w:szCs w:val="21"/>
          <w:highlight w:val="yellow"/>
        </w:rPr>
        <w:t>....(meno a priezvisko rodiča)....</w:t>
      </w:r>
    </w:p>
    <w:sectPr w:rsidR="006506CC" w:rsidRPr="00AF31B2" w:rsidSect="006506CC">
      <w:footerReference w:type="even" r:id="rId8"/>
      <w:footerReference w:type="default" r:id="rId9"/>
      <w:pgSz w:w="11900" w:h="16840"/>
      <w:pgMar w:top="1134" w:right="96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96" w:rsidRDefault="00D12F96" w:rsidP="00AA605B">
      <w:r>
        <w:separator/>
      </w:r>
    </w:p>
  </w:endnote>
  <w:endnote w:type="continuationSeparator" w:id="0">
    <w:p w:rsidR="00D12F96" w:rsidRDefault="00D12F96" w:rsidP="00AA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-35173447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8019E4" w:rsidRDefault="008019E4" w:rsidP="00937FE2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8019E4" w:rsidRDefault="008019E4" w:rsidP="008019E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81938633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8019E4" w:rsidRDefault="008019E4" w:rsidP="00937FE2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8019E4" w:rsidRDefault="008019E4" w:rsidP="008019E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96" w:rsidRDefault="00D12F96" w:rsidP="00AA605B">
      <w:r>
        <w:separator/>
      </w:r>
    </w:p>
  </w:footnote>
  <w:footnote w:type="continuationSeparator" w:id="0">
    <w:p w:rsidR="00D12F96" w:rsidRDefault="00D12F96" w:rsidP="00AA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5B8"/>
    <w:multiLevelType w:val="multilevel"/>
    <w:tmpl w:val="2F0AD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14652"/>
    <w:multiLevelType w:val="hybridMultilevel"/>
    <w:tmpl w:val="E17A8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7EB"/>
    <w:multiLevelType w:val="hybridMultilevel"/>
    <w:tmpl w:val="4420FA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6287"/>
    <w:multiLevelType w:val="hybridMultilevel"/>
    <w:tmpl w:val="40E4F7C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296C69"/>
    <w:multiLevelType w:val="hybridMultilevel"/>
    <w:tmpl w:val="77CA1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1A83"/>
    <w:multiLevelType w:val="hybridMultilevel"/>
    <w:tmpl w:val="6DC4956A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E6F5730"/>
    <w:multiLevelType w:val="hybridMultilevel"/>
    <w:tmpl w:val="2F0AD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74F87"/>
    <w:multiLevelType w:val="hybridMultilevel"/>
    <w:tmpl w:val="CF2C5C34"/>
    <w:lvl w:ilvl="0" w:tplc="041B000F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B0CC4"/>
    <w:multiLevelType w:val="hybridMultilevel"/>
    <w:tmpl w:val="EBE8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E6B40"/>
    <w:multiLevelType w:val="hybridMultilevel"/>
    <w:tmpl w:val="02944DF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495077"/>
    <w:multiLevelType w:val="hybridMultilevel"/>
    <w:tmpl w:val="39B8CE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259DC"/>
    <w:multiLevelType w:val="hybridMultilevel"/>
    <w:tmpl w:val="04FA63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7A05"/>
    <w:multiLevelType w:val="hybridMultilevel"/>
    <w:tmpl w:val="CDCED176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0C17C9"/>
    <w:multiLevelType w:val="hybridMultilevel"/>
    <w:tmpl w:val="30C2E5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307841"/>
    <w:multiLevelType w:val="hybridMultilevel"/>
    <w:tmpl w:val="DC7ACB4C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98E4FE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401DB"/>
    <w:multiLevelType w:val="hybridMultilevel"/>
    <w:tmpl w:val="D92288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64FC8"/>
    <w:multiLevelType w:val="hybridMultilevel"/>
    <w:tmpl w:val="F822FB1A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7A697E"/>
    <w:multiLevelType w:val="hybridMultilevel"/>
    <w:tmpl w:val="286C1690"/>
    <w:lvl w:ilvl="0" w:tplc="93C0B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3"/>
  </w:num>
  <w:num w:numId="12">
    <w:abstractNumId w:val="7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5"/>
  </w:num>
  <w:num w:numId="23">
    <w:abstractNumId w:val="3"/>
  </w:num>
  <w:num w:numId="24">
    <w:abstractNumId w:val="16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0"/>
  </w:num>
  <w:num w:numId="30">
    <w:abstractNumId w:val="4"/>
  </w:num>
  <w:num w:numId="31">
    <w:abstractNumId w:val="11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2"/>
    <w:rsid w:val="00003972"/>
    <w:rsid w:val="00022115"/>
    <w:rsid w:val="000430DE"/>
    <w:rsid w:val="000857CB"/>
    <w:rsid w:val="000A0AD0"/>
    <w:rsid w:val="000A50A4"/>
    <w:rsid w:val="000B3499"/>
    <w:rsid w:val="000D3DA1"/>
    <w:rsid w:val="000F586D"/>
    <w:rsid w:val="00117A6E"/>
    <w:rsid w:val="00134D26"/>
    <w:rsid w:val="00153903"/>
    <w:rsid w:val="001613F6"/>
    <w:rsid w:val="00183320"/>
    <w:rsid w:val="00187F54"/>
    <w:rsid w:val="0019078B"/>
    <w:rsid w:val="001B16D4"/>
    <w:rsid w:val="001C41AD"/>
    <w:rsid w:val="001F613D"/>
    <w:rsid w:val="00224C31"/>
    <w:rsid w:val="00234551"/>
    <w:rsid w:val="00235CE4"/>
    <w:rsid w:val="00240215"/>
    <w:rsid w:val="002761BF"/>
    <w:rsid w:val="002A4466"/>
    <w:rsid w:val="002B2956"/>
    <w:rsid w:val="002B76BB"/>
    <w:rsid w:val="002B7F8E"/>
    <w:rsid w:val="0031141F"/>
    <w:rsid w:val="00326F9D"/>
    <w:rsid w:val="003441CC"/>
    <w:rsid w:val="0035719D"/>
    <w:rsid w:val="0039064C"/>
    <w:rsid w:val="003B3AEC"/>
    <w:rsid w:val="003B3B17"/>
    <w:rsid w:val="003E7C3E"/>
    <w:rsid w:val="004006F4"/>
    <w:rsid w:val="00404957"/>
    <w:rsid w:val="00405C2E"/>
    <w:rsid w:val="00406576"/>
    <w:rsid w:val="004072AE"/>
    <w:rsid w:val="0041312A"/>
    <w:rsid w:val="00426759"/>
    <w:rsid w:val="00455741"/>
    <w:rsid w:val="004633BC"/>
    <w:rsid w:val="00474EEA"/>
    <w:rsid w:val="004872B5"/>
    <w:rsid w:val="004B3913"/>
    <w:rsid w:val="004C7A5E"/>
    <w:rsid w:val="0051645F"/>
    <w:rsid w:val="0054185D"/>
    <w:rsid w:val="0054615F"/>
    <w:rsid w:val="00553411"/>
    <w:rsid w:val="00557C1B"/>
    <w:rsid w:val="005872AE"/>
    <w:rsid w:val="005A515A"/>
    <w:rsid w:val="005A751B"/>
    <w:rsid w:val="005B5B94"/>
    <w:rsid w:val="005B773A"/>
    <w:rsid w:val="005C0655"/>
    <w:rsid w:val="005D5E86"/>
    <w:rsid w:val="005D6606"/>
    <w:rsid w:val="005E303B"/>
    <w:rsid w:val="005F745D"/>
    <w:rsid w:val="00616D97"/>
    <w:rsid w:val="00622CE2"/>
    <w:rsid w:val="006430D2"/>
    <w:rsid w:val="006506CC"/>
    <w:rsid w:val="0065459C"/>
    <w:rsid w:val="006915E1"/>
    <w:rsid w:val="006A4B8C"/>
    <w:rsid w:val="006C052C"/>
    <w:rsid w:val="006C2740"/>
    <w:rsid w:val="006C57DB"/>
    <w:rsid w:val="00706C24"/>
    <w:rsid w:val="00721FC9"/>
    <w:rsid w:val="00723372"/>
    <w:rsid w:val="007300D1"/>
    <w:rsid w:val="00742EFE"/>
    <w:rsid w:val="007462E4"/>
    <w:rsid w:val="007C484A"/>
    <w:rsid w:val="007F07BB"/>
    <w:rsid w:val="008019E4"/>
    <w:rsid w:val="00804025"/>
    <w:rsid w:val="00806B9F"/>
    <w:rsid w:val="00806C1E"/>
    <w:rsid w:val="0081638E"/>
    <w:rsid w:val="008166C2"/>
    <w:rsid w:val="0084550D"/>
    <w:rsid w:val="008536D1"/>
    <w:rsid w:val="00857AD9"/>
    <w:rsid w:val="00872D44"/>
    <w:rsid w:val="008B6D1F"/>
    <w:rsid w:val="008C39C5"/>
    <w:rsid w:val="0090292A"/>
    <w:rsid w:val="00926E3F"/>
    <w:rsid w:val="00932801"/>
    <w:rsid w:val="00946E56"/>
    <w:rsid w:val="00964EDA"/>
    <w:rsid w:val="009729B9"/>
    <w:rsid w:val="0099070E"/>
    <w:rsid w:val="009B2429"/>
    <w:rsid w:val="009B690C"/>
    <w:rsid w:val="009C15AC"/>
    <w:rsid w:val="009D6264"/>
    <w:rsid w:val="00A04874"/>
    <w:rsid w:val="00A05574"/>
    <w:rsid w:val="00A07FCB"/>
    <w:rsid w:val="00A2490E"/>
    <w:rsid w:val="00A454C7"/>
    <w:rsid w:val="00A4625B"/>
    <w:rsid w:val="00A71964"/>
    <w:rsid w:val="00A73326"/>
    <w:rsid w:val="00AA605B"/>
    <w:rsid w:val="00AC6A14"/>
    <w:rsid w:val="00AD1EAF"/>
    <w:rsid w:val="00AE05D3"/>
    <w:rsid w:val="00AF31B2"/>
    <w:rsid w:val="00B20D41"/>
    <w:rsid w:val="00B417E7"/>
    <w:rsid w:val="00B478C1"/>
    <w:rsid w:val="00B517CB"/>
    <w:rsid w:val="00B63816"/>
    <w:rsid w:val="00B767FA"/>
    <w:rsid w:val="00B84252"/>
    <w:rsid w:val="00B8566D"/>
    <w:rsid w:val="00B86B48"/>
    <w:rsid w:val="00BA5396"/>
    <w:rsid w:val="00BB2174"/>
    <w:rsid w:val="00BB43EF"/>
    <w:rsid w:val="00C03105"/>
    <w:rsid w:val="00C03D6A"/>
    <w:rsid w:val="00C524C5"/>
    <w:rsid w:val="00C626D6"/>
    <w:rsid w:val="00C67F8B"/>
    <w:rsid w:val="00C72CB8"/>
    <w:rsid w:val="00C73823"/>
    <w:rsid w:val="00D12F96"/>
    <w:rsid w:val="00D16982"/>
    <w:rsid w:val="00D20C1C"/>
    <w:rsid w:val="00D23564"/>
    <w:rsid w:val="00D64EC0"/>
    <w:rsid w:val="00D7138B"/>
    <w:rsid w:val="00D740DA"/>
    <w:rsid w:val="00D7439D"/>
    <w:rsid w:val="00E023D7"/>
    <w:rsid w:val="00E550A6"/>
    <w:rsid w:val="00E56B75"/>
    <w:rsid w:val="00E66908"/>
    <w:rsid w:val="00EB1CCA"/>
    <w:rsid w:val="00F056D9"/>
    <w:rsid w:val="00F32983"/>
    <w:rsid w:val="00F4442A"/>
    <w:rsid w:val="00F71B57"/>
    <w:rsid w:val="00F80AEE"/>
    <w:rsid w:val="00F83658"/>
    <w:rsid w:val="00F93DC2"/>
    <w:rsid w:val="00FA363C"/>
    <w:rsid w:val="00FC36F3"/>
    <w:rsid w:val="00FC4B03"/>
    <w:rsid w:val="00FD011B"/>
    <w:rsid w:val="00FD613B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BA569"/>
  <w15:chartTrackingRefBased/>
  <w15:docId w15:val="{08F24250-8C2B-9A44-9D81-A5DE179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15A"/>
    <w:pPr>
      <w:numPr>
        <w:numId w:val="5"/>
      </w:numPr>
      <w:spacing w:before="240" w:after="240"/>
      <w:contextualSpacing/>
      <w:jc w:val="both"/>
    </w:pPr>
    <w:rPr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605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60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605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4185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185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3564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C27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9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9E4"/>
  </w:style>
  <w:style w:type="character" w:styleId="slostrany">
    <w:name w:val="page number"/>
    <w:basedOn w:val="Predvolenpsmoodseku"/>
    <w:uiPriority w:val="99"/>
    <w:semiHidden/>
    <w:unhideWhenUsed/>
    <w:rsid w:val="008019E4"/>
  </w:style>
  <w:style w:type="paragraph" w:styleId="Hlavika">
    <w:name w:val="header"/>
    <w:basedOn w:val="Normlny"/>
    <w:link w:val="HlavikaChar"/>
    <w:uiPriority w:val="99"/>
    <w:unhideWhenUsed/>
    <w:rsid w:val="00B517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482F2-A524-F34A-B6E5-2D052CBC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1914</Words>
  <Characters>11466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AK</cp:lastModifiedBy>
  <cp:revision>4</cp:revision>
  <dcterms:created xsi:type="dcterms:W3CDTF">2022-01-16T15:26:00Z</dcterms:created>
  <dcterms:modified xsi:type="dcterms:W3CDTF">2022-01-16T15:41:00Z</dcterms:modified>
  <cp:category/>
</cp:coreProperties>
</file>